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4" w:rsidRPr="006E0094" w:rsidRDefault="00860A49" w:rsidP="006E0094">
      <w:pPr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i/>
          <w:noProof/>
          <w:color w:val="632423" w:themeColor="accent2" w:themeShade="80"/>
          <w:sz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857500" cy="1790700"/>
            <wp:effectExtent l="19050" t="0" r="0" b="0"/>
            <wp:wrapTight wrapText="bothSides">
              <wp:wrapPolygon edited="0">
                <wp:start x="-144" y="0"/>
                <wp:lineTo x="-144" y="21370"/>
                <wp:lineTo x="21600" y="21370"/>
                <wp:lineTo x="21600" y="0"/>
                <wp:lineTo x="-144" y="0"/>
              </wp:wrapPolygon>
            </wp:wrapTight>
            <wp:docPr id="10" name="Рисунок 5" descr="Просмотреть обои семья, природа, пикник, отды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мотреть обои семья, природа, пикник, отдых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EE1" w:rsidRPr="006E0094">
        <w:rPr>
          <w:b/>
          <w:i/>
          <w:color w:val="632423" w:themeColor="accent2" w:themeShade="80"/>
          <w:sz w:val="32"/>
          <w:szCs w:val="28"/>
          <w:u w:val="single"/>
        </w:rPr>
        <w:t>Динамика ч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>исленност</w:t>
      </w:r>
      <w:r w:rsidR="00BF6EE1" w:rsidRPr="006E0094">
        <w:rPr>
          <w:b/>
          <w:i/>
          <w:color w:val="632423" w:themeColor="accent2" w:themeShade="80"/>
          <w:sz w:val="32"/>
          <w:szCs w:val="28"/>
          <w:u w:val="single"/>
        </w:rPr>
        <w:t>и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 населения</w:t>
      </w:r>
    </w:p>
    <w:p w:rsidR="00BF6EE1" w:rsidRPr="006E0094" w:rsidRDefault="00BF6EE1" w:rsidP="006E0094">
      <w:pPr>
        <w:spacing w:after="120"/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г. Краснокамска </w:t>
      </w:r>
      <w:r w:rsidR="00CE672E" w:rsidRPr="006E0094">
        <w:rPr>
          <w:b/>
          <w:i/>
          <w:color w:val="632423" w:themeColor="accent2" w:themeShade="80"/>
          <w:sz w:val="32"/>
          <w:szCs w:val="28"/>
          <w:u w:val="single"/>
        </w:rPr>
        <w:t>в 2017 году</w:t>
      </w:r>
    </w:p>
    <w:p w:rsidR="006E0094" w:rsidRDefault="006E0094" w:rsidP="001900C1">
      <w:pPr>
        <w:rPr>
          <w:szCs w:val="28"/>
        </w:rPr>
      </w:pPr>
    </w:p>
    <w:p w:rsidR="001900C1" w:rsidRPr="009B0774" w:rsidRDefault="009B0774" w:rsidP="001900C1">
      <w:pPr>
        <w:rPr>
          <w:b/>
          <w:szCs w:val="28"/>
        </w:rPr>
      </w:pPr>
      <w:r w:rsidRPr="009B0774">
        <w:rPr>
          <w:szCs w:val="28"/>
        </w:rPr>
        <w:t>По состоянию на 1 января 2017 года численность населения г. Краснокамск по данным Пермьстата составила</w:t>
      </w:r>
      <w:r>
        <w:rPr>
          <w:b/>
          <w:szCs w:val="28"/>
        </w:rPr>
        <w:t xml:space="preserve"> </w:t>
      </w:r>
      <w:r w:rsidRPr="006E0094">
        <w:rPr>
          <w:b/>
          <w:bCs/>
          <w:color w:val="632423" w:themeColor="accent2" w:themeShade="80"/>
          <w:szCs w:val="28"/>
          <w:u w:val="single"/>
        </w:rPr>
        <w:t>53 864</w:t>
      </w:r>
      <w:r>
        <w:rPr>
          <w:bCs/>
          <w:szCs w:val="28"/>
        </w:rPr>
        <w:t xml:space="preserve"> человека, что на 100 человек меньше, чем на 1 января 2016 года.  </w:t>
      </w:r>
    </w:p>
    <w:p w:rsidR="006E0094" w:rsidRDefault="006E0094" w:rsidP="009B0774">
      <w:pPr>
        <w:ind w:firstLine="720"/>
        <w:rPr>
          <w:bCs/>
          <w:szCs w:val="28"/>
        </w:rPr>
      </w:pPr>
    </w:p>
    <w:p w:rsidR="0084295A" w:rsidRDefault="009B0774" w:rsidP="009B0774">
      <w:pPr>
        <w:ind w:firstLine="720"/>
        <w:rPr>
          <w:bCs/>
          <w:szCs w:val="28"/>
        </w:rPr>
      </w:pPr>
      <w:r>
        <w:rPr>
          <w:bCs/>
          <w:szCs w:val="28"/>
        </w:rPr>
        <w:t>Численность населения формируется как за счёт внутренних факторов (рождение и смерть граждан), так и за счёт внешних факторов (миграция граждан). Изменение этих факторов выражается в итогах естественного движения населения.</w:t>
      </w:r>
    </w:p>
    <w:p w:rsidR="009B0774" w:rsidRDefault="0084295A" w:rsidP="009B0774">
      <w:pPr>
        <w:ind w:firstLine="720"/>
        <w:rPr>
          <w:bCs/>
          <w:szCs w:val="28"/>
        </w:rPr>
      </w:pPr>
      <w:r>
        <w:rPr>
          <w:bCs/>
          <w:szCs w:val="28"/>
        </w:rPr>
        <w:t xml:space="preserve">Численность населения г. Краснокамска с учётом естественного движения населения за 9 месяцев текущего года по состоянию на 1 октября 2017 года составила </w:t>
      </w:r>
      <w:r w:rsidRPr="006E0094">
        <w:rPr>
          <w:b/>
          <w:bCs/>
          <w:color w:val="632423" w:themeColor="accent2" w:themeShade="80"/>
          <w:szCs w:val="28"/>
          <w:u w:val="single"/>
        </w:rPr>
        <w:t>53 669</w:t>
      </w:r>
      <w:r w:rsidRPr="006E0094">
        <w:rPr>
          <w:b/>
          <w:bCs/>
          <w:color w:val="632423" w:themeColor="accent2" w:themeShade="80"/>
          <w:szCs w:val="28"/>
        </w:rPr>
        <w:t xml:space="preserve"> </w:t>
      </w:r>
      <w:r w:rsidRPr="006E0094">
        <w:rPr>
          <w:bCs/>
          <w:szCs w:val="28"/>
        </w:rPr>
        <w:t>человек</w:t>
      </w:r>
      <w:r>
        <w:rPr>
          <w:bCs/>
          <w:szCs w:val="28"/>
        </w:rPr>
        <w:t xml:space="preserve">, что на </w:t>
      </w:r>
      <w:r w:rsidR="006E0094">
        <w:rPr>
          <w:bCs/>
          <w:szCs w:val="28"/>
        </w:rPr>
        <w:t>195 человек</w:t>
      </w:r>
      <w:r>
        <w:rPr>
          <w:bCs/>
          <w:szCs w:val="28"/>
        </w:rPr>
        <w:t xml:space="preserve"> меньше, чем на начало года.</w:t>
      </w:r>
    </w:p>
    <w:p w:rsidR="009B0774" w:rsidRPr="009B0774" w:rsidRDefault="009B0774" w:rsidP="009B0774">
      <w:pPr>
        <w:ind w:firstLine="720"/>
        <w:jc w:val="right"/>
        <w:rPr>
          <w:bCs/>
          <w:sz w:val="20"/>
          <w:szCs w:val="28"/>
        </w:rPr>
      </w:pPr>
      <w:r w:rsidRPr="009B0774">
        <w:rPr>
          <w:bCs/>
          <w:sz w:val="20"/>
          <w:szCs w:val="28"/>
        </w:rPr>
        <w:t>(чел.)</w:t>
      </w:r>
    </w:p>
    <w:tbl>
      <w:tblPr>
        <w:tblStyle w:val="a9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B0774" w:rsidTr="009B0774">
        <w:tc>
          <w:tcPr>
            <w:tcW w:w="2534" w:type="dxa"/>
            <w:vAlign w:val="center"/>
          </w:tcPr>
          <w:p w:rsidR="009B0774" w:rsidRDefault="009B0774" w:rsidP="0084295A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Численность населения на 01</w:t>
            </w:r>
            <w:r w:rsidR="0084295A">
              <w:rPr>
                <w:bCs/>
                <w:szCs w:val="28"/>
              </w:rPr>
              <w:t>.01.</w:t>
            </w:r>
            <w:r>
              <w:rPr>
                <w:bCs/>
                <w:szCs w:val="28"/>
              </w:rPr>
              <w:t>2017 г.</w:t>
            </w:r>
          </w:p>
        </w:tc>
        <w:tc>
          <w:tcPr>
            <w:tcW w:w="2534" w:type="dxa"/>
            <w:vAlign w:val="center"/>
          </w:tcPr>
          <w:p w:rsidR="009B0774" w:rsidRP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 w:rsidRPr="009B0774">
              <w:rPr>
                <w:szCs w:val="28"/>
              </w:rPr>
              <w:t>Естественная убыль населения</w:t>
            </w:r>
          </w:p>
        </w:tc>
        <w:tc>
          <w:tcPr>
            <w:tcW w:w="2534" w:type="dxa"/>
            <w:vAlign w:val="center"/>
          </w:tcPr>
          <w:p w:rsid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Миграционный отток населения</w:t>
            </w:r>
          </w:p>
        </w:tc>
        <w:tc>
          <w:tcPr>
            <w:tcW w:w="2535" w:type="dxa"/>
            <w:vAlign w:val="center"/>
          </w:tcPr>
          <w:p w:rsidR="009B0774" w:rsidRDefault="009B0774" w:rsidP="0084295A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Численность населения на 01</w:t>
            </w:r>
            <w:r w:rsidR="0084295A">
              <w:rPr>
                <w:bCs/>
                <w:szCs w:val="28"/>
              </w:rPr>
              <w:t>.10.</w:t>
            </w:r>
            <w:r>
              <w:rPr>
                <w:bCs/>
                <w:szCs w:val="28"/>
              </w:rPr>
              <w:t>2017 г.</w:t>
            </w:r>
          </w:p>
        </w:tc>
      </w:tr>
      <w:tr w:rsidR="009B0774" w:rsidTr="009B0774">
        <w:tc>
          <w:tcPr>
            <w:tcW w:w="2534" w:type="dxa"/>
            <w:vAlign w:val="center"/>
          </w:tcPr>
          <w:p w:rsidR="009B0774" w:rsidRDefault="009B0774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53 864</w:t>
            </w:r>
          </w:p>
        </w:tc>
        <w:tc>
          <w:tcPr>
            <w:tcW w:w="2534" w:type="dxa"/>
            <w:vAlign w:val="center"/>
          </w:tcPr>
          <w:p w:rsidR="009B0774" w:rsidRDefault="0084295A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(-) 49</w:t>
            </w:r>
          </w:p>
        </w:tc>
        <w:tc>
          <w:tcPr>
            <w:tcW w:w="2534" w:type="dxa"/>
            <w:vAlign w:val="center"/>
          </w:tcPr>
          <w:p w:rsidR="009B0774" w:rsidRDefault="0084295A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(-) 146</w:t>
            </w:r>
          </w:p>
        </w:tc>
        <w:tc>
          <w:tcPr>
            <w:tcW w:w="2535" w:type="dxa"/>
            <w:vAlign w:val="center"/>
          </w:tcPr>
          <w:p w:rsidR="009B0774" w:rsidRDefault="0084295A" w:rsidP="009B077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53 669</w:t>
            </w:r>
          </w:p>
        </w:tc>
      </w:tr>
    </w:tbl>
    <w:p w:rsidR="009B0774" w:rsidRPr="0084295A" w:rsidRDefault="0084295A" w:rsidP="0084295A">
      <w:pPr>
        <w:spacing w:before="120"/>
        <w:ind w:firstLine="720"/>
        <w:rPr>
          <w:bCs/>
          <w:szCs w:val="28"/>
        </w:rPr>
      </w:pPr>
      <w:r>
        <w:rPr>
          <w:bCs/>
          <w:szCs w:val="28"/>
        </w:rPr>
        <w:t xml:space="preserve">Рассмотрим динамику численности населения в течении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кварталов текущего года</w:t>
      </w:r>
      <w:r w:rsidR="00706B27">
        <w:rPr>
          <w:bCs/>
          <w:szCs w:val="28"/>
        </w:rPr>
        <w:t>.</w:t>
      </w:r>
    </w:p>
    <w:p w:rsidR="001900C1" w:rsidRPr="00091600" w:rsidRDefault="009B0774" w:rsidP="006E0094">
      <w:pPr>
        <w:spacing w:before="120" w:after="120"/>
        <w:ind w:firstLine="0"/>
        <w:jc w:val="center"/>
        <w:rPr>
          <w:i/>
          <w:szCs w:val="28"/>
        </w:rPr>
      </w:pPr>
      <w:r w:rsidRPr="00091600">
        <w:rPr>
          <w:i/>
          <w:szCs w:val="28"/>
        </w:rPr>
        <w:t xml:space="preserve">Естественный прирост (убыль) населения в </w:t>
      </w:r>
      <w:r w:rsidR="001900C1" w:rsidRPr="00091600">
        <w:rPr>
          <w:i/>
          <w:szCs w:val="28"/>
        </w:rPr>
        <w:t>2017 год</w:t>
      </w:r>
      <w:r w:rsidRPr="00091600">
        <w:rPr>
          <w:i/>
          <w:szCs w:val="28"/>
        </w:rPr>
        <w:t>у:</w:t>
      </w:r>
    </w:p>
    <w:p w:rsidR="001900C1" w:rsidRPr="001900C1" w:rsidRDefault="001900C1" w:rsidP="001900C1">
      <w:pPr>
        <w:rPr>
          <w:szCs w:val="28"/>
        </w:rPr>
      </w:pPr>
      <w:r w:rsidRPr="001900C1">
        <w:rPr>
          <w:szCs w:val="28"/>
        </w:rPr>
        <w:t>За 9 месяцев 2017 года</w:t>
      </w:r>
      <w:r>
        <w:rPr>
          <w:szCs w:val="28"/>
        </w:rPr>
        <w:t xml:space="preserve"> в г. Краснокамск </w:t>
      </w:r>
      <w:r w:rsidR="0084295A">
        <w:rPr>
          <w:szCs w:val="28"/>
        </w:rPr>
        <w:t>родилось</w:t>
      </w:r>
      <w:r>
        <w:rPr>
          <w:szCs w:val="28"/>
        </w:rPr>
        <w:t xml:space="preserve"> </w:t>
      </w:r>
      <w:r w:rsidR="0084295A">
        <w:rPr>
          <w:szCs w:val="28"/>
        </w:rPr>
        <w:t>516</w:t>
      </w:r>
      <w:r>
        <w:rPr>
          <w:szCs w:val="28"/>
        </w:rPr>
        <w:t xml:space="preserve"> </w:t>
      </w:r>
      <w:r w:rsidR="0084295A">
        <w:rPr>
          <w:szCs w:val="28"/>
        </w:rPr>
        <w:t>малышей</w:t>
      </w:r>
      <w:r>
        <w:rPr>
          <w:szCs w:val="28"/>
        </w:rPr>
        <w:t xml:space="preserve">, </w:t>
      </w:r>
      <w:r w:rsidR="0084295A">
        <w:rPr>
          <w:szCs w:val="28"/>
        </w:rPr>
        <w:t>умерло 565</w:t>
      </w:r>
      <w:r w:rsidR="00706B27">
        <w:rPr>
          <w:szCs w:val="28"/>
        </w:rPr>
        <w:t xml:space="preserve"> </w:t>
      </w:r>
      <w:r>
        <w:rPr>
          <w:szCs w:val="28"/>
        </w:rPr>
        <w:t xml:space="preserve">человек. </w:t>
      </w:r>
      <w:r w:rsidR="00706B27">
        <w:rPr>
          <w:szCs w:val="28"/>
        </w:rPr>
        <w:t xml:space="preserve">Естественная убыль </w:t>
      </w:r>
      <w:r>
        <w:rPr>
          <w:szCs w:val="28"/>
        </w:rPr>
        <w:t xml:space="preserve">составила </w:t>
      </w:r>
      <w:r w:rsidR="00706B27">
        <w:rPr>
          <w:szCs w:val="28"/>
        </w:rPr>
        <w:t>49</w:t>
      </w:r>
      <w:r>
        <w:rPr>
          <w:szCs w:val="28"/>
        </w:rPr>
        <w:t xml:space="preserve"> человек.</w:t>
      </w:r>
    </w:p>
    <w:p w:rsidR="006E0094" w:rsidRDefault="009B0774" w:rsidP="009B0774">
      <w:pPr>
        <w:rPr>
          <w:b/>
          <w:szCs w:val="28"/>
        </w:rPr>
      </w:pPr>
      <w:r w:rsidRPr="009B0774">
        <w:rPr>
          <w:b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094" w:rsidRDefault="006E0094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F6EE1" w:rsidRPr="00091600" w:rsidRDefault="00BF6EE1" w:rsidP="006E0094">
      <w:pPr>
        <w:spacing w:after="120"/>
        <w:ind w:firstLine="0"/>
        <w:jc w:val="center"/>
        <w:rPr>
          <w:i/>
          <w:szCs w:val="28"/>
        </w:rPr>
      </w:pPr>
      <w:r w:rsidRPr="00091600">
        <w:rPr>
          <w:i/>
          <w:szCs w:val="28"/>
        </w:rPr>
        <w:lastRenderedPageBreak/>
        <w:t xml:space="preserve">Миграционные процессы </w:t>
      </w:r>
      <w:r w:rsidR="009B0774" w:rsidRPr="00091600">
        <w:rPr>
          <w:i/>
          <w:szCs w:val="28"/>
        </w:rPr>
        <w:t xml:space="preserve">в </w:t>
      </w:r>
      <w:r w:rsidRPr="00091600">
        <w:rPr>
          <w:i/>
          <w:szCs w:val="28"/>
        </w:rPr>
        <w:t>2017 год</w:t>
      </w:r>
      <w:r w:rsidR="009B0774" w:rsidRPr="00091600">
        <w:rPr>
          <w:i/>
          <w:szCs w:val="28"/>
        </w:rPr>
        <w:t>у:</w:t>
      </w:r>
    </w:p>
    <w:p w:rsidR="001900C1" w:rsidRDefault="001900C1">
      <w:pPr>
        <w:rPr>
          <w:szCs w:val="28"/>
        </w:rPr>
      </w:pPr>
      <w:r w:rsidRPr="001900C1">
        <w:rPr>
          <w:szCs w:val="28"/>
        </w:rPr>
        <w:t>За 9 месяцев 2017 года</w:t>
      </w:r>
      <w:r>
        <w:rPr>
          <w:szCs w:val="28"/>
        </w:rPr>
        <w:t xml:space="preserve"> в г. Краснокамск прибыло 1 151 человек, выбыло из города 1 297 человек. Миграционная убыль составила 146 человек.</w:t>
      </w:r>
    </w:p>
    <w:p w:rsidR="00BF6EE1" w:rsidRDefault="00BF6EE1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094" w:rsidRPr="006E0094" w:rsidRDefault="006E0094" w:rsidP="00747544">
      <w:pPr>
        <w:spacing w:before="120" w:after="120"/>
        <w:ind w:firstLine="0"/>
        <w:jc w:val="center"/>
        <w:rPr>
          <w:b/>
          <w:i/>
          <w:color w:val="632423" w:themeColor="accent2" w:themeShade="80"/>
          <w:sz w:val="32"/>
          <w:szCs w:val="28"/>
          <w:u w:val="single"/>
        </w:rPr>
      </w:pP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>Данные о численности населения г. Краснокамска за период 2010-201</w:t>
      </w:r>
      <w:r>
        <w:rPr>
          <w:b/>
          <w:i/>
          <w:color w:val="632423" w:themeColor="accent2" w:themeShade="80"/>
          <w:sz w:val="32"/>
          <w:szCs w:val="28"/>
          <w:u w:val="single"/>
        </w:rPr>
        <w:t>7</w:t>
      </w:r>
      <w:r w:rsidRPr="006E0094">
        <w:rPr>
          <w:b/>
          <w:i/>
          <w:color w:val="632423" w:themeColor="accent2" w:themeShade="80"/>
          <w:sz w:val="32"/>
          <w:szCs w:val="28"/>
          <w:u w:val="single"/>
        </w:rPr>
        <w:t xml:space="preserve"> годы с учётом итогов Всероссийской переписи населения-2010</w:t>
      </w:r>
    </w:p>
    <w:p w:rsidR="00E32736" w:rsidRDefault="00E32736" w:rsidP="00E32736">
      <w:pPr>
        <w:tabs>
          <w:tab w:val="left" w:pos="1418"/>
          <w:tab w:val="left" w:pos="9639"/>
          <w:tab w:val="left" w:pos="9923"/>
        </w:tabs>
        <w:ind w:firstLine="720"/>
        <w:rPr>
          <w:bCs/>
          <w:szCs w:val="28"/>
        </w:rPr>
      </w:pPr>
      <w:r>
        <w:rPr>
          <w:bCs/>
          <w:szCs w:val="28"/>
        </w:rPr>
        <w:t xml:space="preserve">С 2010 года показатель численности населения определяется с учётом итогов Всероссийской переписи населения-2010. </w:t>
      </w:r>
    </w:p>
    <w:p w:rsidR="00E32736" w:rsidRDefault="00E32736" w:rsidP="00E32736">
      <w:pPr>
        <w:tabs>
          <w:tab w:val="left" w:pos="9639"/>
        </w:tabs>
        <w:ind w:firstLine="720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6985</wp:posOffset>
            </wp:positionV>
            <wp:extent cx="6636385" cy="2743200"/>
            <wp:effectExtent l="0" t="0" r="0" b="0"/>
            <wp:wrapNone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tabs>
          <w:tab w:val="left" w:pos="8115"/>
        </w:tabs>
        <w:ind w:firstLine="720"/>
        <w:rPr>
          <w:bCs/>
          <w:szCs w:val="28"/>
        </w:rPr>
      </w:pPr>
      <w:r>
        <w:rPr>
          <w:bCs/>
          <w:szCs w:val="28"/>
        </w:rPr>
        <w:tab/>
      </w: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</w:p>
    <w:p w:rsidR="00E32736" w:rsidRDefault="00E32736" w:rsidP="00E32736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За период с 2010 по 2015 годы в городе Краснокамске наблюдался стабильный рост численности населения, что в целом характеризовало город как динамично развивающуюся территорию. За указанный период лет численность населения города возросла на 2 158 человека, что составило 4% от общей численности жителей. </w:t>
      </w:r>
    </w:p>
    <w:p w:rsidR="00CE672E" w:rsidRDefault="00134405" w:rsidP="00747544">
      <w:pPr>
        <w:ind w:firstLine="720"/>
        <w:rPr>
          <w:b/>
          <w:szCs w:val="28"/>
        </w:rPr>
      </w:pPr>
      <w:r>
        <w:rPr>
          <w:bCs/>
          <w:szCs w:val="28"/>
        </w:rPr>
        <w:t>К сожалению, с</w:t>
      </w:r>
      <w:r w:rsidR="00747544">
        <w:rPr>
          <w:bCs/>
          <w:szCs w:val="28"/>
        </w:rPr>
        <w:t xml:space="preserve"> </w:t>
      </w:r>
      <w:r w:rsidR="00E32736">
        <w:rPr>
          <w:bCs/>
          <w:szCs w:val="28"/>
        </w:rPr>
        <w:t>2016 года численность населения города сни</w:t>
      </w:r>
      <w:r w:rsidR="00747544">
        <w:rPr>
          <w:bCs/>
          <w:szCs w:val="28"/>
        </w:rPr>
        <w:t>жается, что явл</w:t>
      </w:r>
      <w:r>
        <w:rPr>
          <w:bCs/>
          <w:szCs w:val="28"/>
        </w:rPr>
        <w:t xml:space="preserve">яется ощутимыми </w:t>
      </w:r>
      <w:r w:rsidR="00747544">
        <w:rPr>
          <w:bCs/>
          <w:szCs w:val="28"/>
        </w:rPr>
        <w:t>последствиями экономического кризиса в стране.</w:t>
      </w:r>
    </w:p>
    <w:sectPr w:rsidR="00CE672E" w:rsidSect="00CE7C6E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FB" w:rsidRDefault="007977FB" w:rsidP="009C3CA6">
      <w:r>
        <w:separator/>
      </w:r>
    </w:p>
  </w:endnote>
  <w:endnote w:type="continuationSeparator" w:id="1">
    <w:p w:rsidR="007977FB" w:rsidRDefault="007977FB" w:rsidP="009C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FB" w:rsidRDefault="007977FB" w:rsidP="009C3CA6">
      <w:r>
        <w:separator/>
      </w:r>
    </w:p>
  </w:footnote>
  <w:footnote w:type="continuationSeparator" w:id="1">
    <w:p w:rsidR="007977FB" w:rsidRDefault="007977FB" w:rsidP="009C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424"/>
    <w:rsid w:val="00024599"/>
    <w:rsid w:val="000268B4"/>
    <w:rsid w:val="00091600"/>
    <w:rsid w:val="000B6A37"/>
    <w:rsid w:val="000D6497"/>
    <w:rsid w:val="000F48F0"/>
    <w:rsid w:val="001307E1"/>
    <w:rsid w:val="00134405"/>
    <w:rsid w:val="001667FF"/>
    <w:rsid w:val="001900C1"/>
    <w:rsid w:val="0028281C"/>
    <w:rsid w:val="00294D31"/>
    <w:rsid w:val="002A1374"/>
    <w:rsid w:val="00305FCA"/>
    <w:rsid w:val="003F4D23"/>
    <w:rsid w:val="005103A0"/>
    <w:rsid w:val="005812F5"/>
    <w:rsid w:val="005F0AED"/>
    <w:rsid w:val="006548C5"/>
    <w:rsid w:val="00665424"/>
    <w:rsid w:val="006A5E3E"/>
    <w:rsid w:val="006E0094"/>
    <w:rsid w:val="006E7577"/>
    <w:rsid w:val="00706B27"/>
    <w:rsid w:val="00741622"/>
    <w:rsid w:val="00742B45"/>
    <w:rsid w:val="00747544"/>
    <w:rsid w:val="007977FB"/>
    <w:rsid w:val="0084295A"/>
    <w:rsid w:val="00860A49"/>
    <w:rsid w:val="00891EAA"/>
    <w:rsid w:val="00912598"/>
    <w:rsid w:val="009B0774"/>
    <w:rsid w:val="009C3CA6"/>
    <w:rsid w:val="00A07F93"/>
    <w:rsid w:val="00A550B9"/>
    <w:rsid w:val="00AD46D8"/>
    <w:rsid w:val="00BF6EE1"/>
    <w:rsid w:val="00C558A6"/>
    <w:rsid w:val="00C82509"/>
    <w:rsid w:val="00CE17DA"/>
    <w:rsid w:val="00CE672E"/>
    <w:rsid w:val="00CE7C6E"/>
    <w:rsid w:val="00D765EC"/>
    <w:rsid w:val="00E32736"/>
    <w:rsid w:val="00E420B7"/>
    <w:rsid w:val="00FD1EB8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3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CA6"/>
  </w:style>
  <w:style w:type="paragraph" w:styleId="a7">
    <w:name w:val="footer"/>
    <w:basedOn w:val="a"/>
    <w:link w:val="a8"/>
    <w:uiPriority w:val="99"/>
    <w:semiHidden/>
    <w:unhideWhenUsed/>
    <w:rsid w:val="009C3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CA6"/>
  </w:style>
  <w:style w:type="table" w:styleId="a9">
    <w:name w:val="Table Grid"/>
    <w:basedOn w:val="a1"/>
    <w:uiPriority w:val="59"/>
    <w:rsid w:val="009B0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 (чел.)</c:v>
                </c:pt>
              </c:strCache>
            </c:strRef>
          </c:tx>
          <c:dLbls>
            <c:dLbl>
              <c:idx val="1"/>
              <c:dLblPos val="r"/>
              <c:showVal val="1"/>
            </c:dLbl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175</c:v>
                </c:pt>
                <c:pt idx="1">
                  <c:v>155</c:v>
                </c:pt>
                <c:pt idx="2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209</c:v>
                </c:pt>
                <c:pt idx="1">
                  <c:v>161</c:v>
                </c:pt>
                <c:pt idx="2">
                  <c:v>195</c:v>
                </c:pt>
              </c:numCache>
            </c:numRef>
          </c:val>
        </c:ser>
        <c:marker val="1"/>
        <c:axId val="66621824"/>
        <c:axId val="66681088"/>
      </c:lineChart>
      <c:catAx>
        <c:axId val="66621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66681088"/>
        <c:crosses val="autoZero"/>
        <c:auto val="1"/>
        <c:lblAlgn val="ctr"/>
        <c:lblOffset val="100"/>
      </c:catAx>
      <c:valAx>
        <c:axId val="66681088"/>
        <c:scaling>
          <c:orientation val="minMax"/>
          <c:max val="225"/>
          <c:min val="1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66621824"/>
        <c:crosses val="autoZero"/>
        <c:crossBetween val="between"/>
        <c:majorUnit val="25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371</c:v>
                </c:pt>
                <c:pt idx="1">
                  <c:v>357</c:v>
                </c:pt>
                <c:pt idx="2">
                  <c:v>423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Убыло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 baseline="0">
                    <a:latin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375</c:v>
                </c:pt>
                <c:pt idx="1">
                  <c:v>431</c:v>
                </c:pt>
                <c:pt idx="2">
                  <c:v>491</c:v>
                </c:pt>
              </c:numCache>
            </c:numRef>
          </c:val>
        </c:ser>
        <c:marker val="1"/>
        <c:axId val="74564736"/>
        <c:axId val="74566272"/>
      </c:lineChart>
      <c:catAx>
        <c:axId val="74564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4566272"/>
        <c:crosses val="autoZero"/>
        <c:auto val="1"/>
        <c:lblAlgn val="ctr"/>
        <c:lblOffset val="100"/>
      </c:catAx>
      <c:valAx>
        <c:axId val="74566272"/>
        <c:scaling>
          <c:orientation val="minMax"/>
          <c:max val="500"/>
          <c:min val="34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4564736"/>
        <c:crosses val="autoZero"/>
        <c:crossBetween val="between"/>
        <c:majorUnit val="20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683453237410052E-2"/>
          <c:y val="3.6195319335083145E-2"/>
          <c:w val="0.84890141940502006"/>
          <c:h val="0.76094276094276059"/>
        </c:manualLayout>
      </c:layout>
      <c:lineChart>
        <c:grouping val="standard"/>
        <c:ser>
          <c:idx val="0"/>
          <c:order val="0"/>
          <c:spPr>
            <a:ln w="26887">
              <a:solidFill>
                <a:srgbClr val="FF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2.3148148148148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273849392402642E-3"/>
                  <c:y val="3.703703703703704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9136924696201323E-3"/>
                  <c:y val="2.77777777777777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0167913300349464E-17"/>
                  <c:y val="1.388888888888889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5928619270883243E-2"/>
                  <c:y val="-5.555555555555553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5928619270883167E-2"/>
                  <c:y val="-5.09259259259259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9756004210123446E-2"/>
                  <c:y val="-6.944444444444446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3395847287340924E-2"/>
                  <c:y val="-5.0925925925925902E-2"/>
                </c:manualLayout>
              </c:layout>
              <c:dLblPos val="r"/>
              <c:showVal val="1"/>
            </c:dLbl>
            <c:numFmt formatCode="#,##0" sourceLinked="0"/>
            <c:spPr>
              <a:noFill/>
              <a:ln w="26887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2">
                        <a:lumMod val="75000"/>
                      </a:schemeClr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Val val="1"/>
          </c:dLbls>
          <c:cat>
            <c:strRef>
              <c:f>Sheet1!$B$1:$J$1</c:f>
              <c:strCache>
                <c:ptCount val="9"/>
                <c:pt idx="0">
                  <c:v>01.01.2010</c:v>
                </c:pt>
                <c:pt idx="1">
                  <c:v>01.01.2011</c:v>
                </c:pt>
                <c:pt idx="2">
                  <c:v>01.01.2012</c:v>
                </c:pt>
                <c:pt idx="3">
                  <c:v>01.01.2013</c:v>
                </c:pt>
                <c:pt idx="4">
                  <c:v>01.01.2014</c:v>
                </c:pt>
                <c:pt idx="5">
                  <c:v>01.01.2015</c:v>
                </c:pt>
                <c:pt idx="6">
                  <c:v>01.01.2016</c:v>
                </c:pt>
                <c:pt idx="7">
                  <c:v>01.01.2017</c:v>
                </c:pt>
                <c:pt idx="8">
                  <c:v>01.10.2017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51806</c:v>
                </c:pt>
                <c:pt idx="1">
                  <c:v>51950</c:v>
                </c:pt>
                <c:pt idx="2">
                  <c:v>52424</c:v>
                </c:pt>
                <c:pt idx="3">
                  <c:v>53180</c:v>
                </c:pt>
                <c:pt idx="4">
                  <c:v>53697</c:v>
                </c:pt>
                <c:pt idx="5">
                  <c:v>53939</c:v>
                </c:pt>
                <c:pt idx="6">
                  <c:v>53964</c:v>
                </c:pt>
                <c:pt idx="7">
                  <c:v>53864</c:v>
                </c:pt>
                <c:pt idx="8">
                  <c:v>53669</c:v>
                </c:pt>
              </c:numCache>
            </c:numRef>
          </c:val>
        </c:ser>
        <c:dropLines>
          <c:spPr>
            <a:ln w="0">
              <a:solidFill>
                <a:schemeClr val="tx1">
                  <a:lumMod val="65000"/>
                  <a:lumOff val="35000"/>
                </a:schemeClr>
              </a:solidFill>
              <a:prstDash val="sysDash"/>
            </a:ln>
          </c:spPr>
        </c:dropLines>
        <c:marker val="1"/>
        <c:axId val="74641792"/>
        <c:axId val="74643328"/>
      </c:lineChart>
      <c:catAx>
        <c:axId val="74641792"/>
        <c:scaling>
          <c:orientation val="minMax"/>
        </c:scaling>
        <c:axPos val="b"/>
        <c:numFmt formatCode="dd/mm/yyyy" sourceLinked="1"/>
        <c:majorTickMark val="cross"/>
        <c:tickLblPos val="low"/>
        <c:spPr>
          <a:ln w="3361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643328"/>
        <c:crossesAt val="0"/>
        <c:auto val="1"/>
        <c:lblAlgn val="ctr"/>
        <c:lblOffset val="100"/>
        <c:tickMarkSkip val="1"/>
      </c:catAx>
      <c:valAx>
        <c:axId val="74643328"/>
        <c:scaling>
          <c:orientation val="minMax"/>
          <c:max val="54500"/>
          <c:min val="51500"/>
        </c:scaling>
        <c:axPos val="l"/>
        <c:majorGridlines>
          <c:spPr>
            <a:ln w="13444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134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641792"/>
        <c:crosses val="autoZero"/>
        <c:crossBetween val="midCat"/>
      </c:valAx>
      <c:spPr>
        <a:noFill/>
        <a:ln w="13444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08" b="1" i="0" u="none" strike="noStrike" baseline="0">
          <a:solidFill>
            <a:srgbClr val="000000"/>
          </a:solidFill>
          <a:latin typeface="Trebuchet MS"/>
          <a:ea typeface="Trebuchet MS"/>
          <a:cs typeface="Trebuchet M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F93E-38DE-4357-83C2-59AD2E3F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20</cp:revision>
  <cp:lastPrinted>2017-07-03T04:23:00Z</cp:lastPrinted>
  <dcterms:created xsi:type="dcterms:W3CDTF">2017-06-29T06:32:00Z</dcterms:created>
  <dcterms:modified xsi:type="dcterms:W3CDTF">2017-12-13T10:25:00Z</dcterms:modified>
</cp:coreProperties>
</file>