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color w:val="000000"/>
                <w:sz w:val="20"/>
                <w:szCs w:val="20"/>
                <w:rtl w:val="0"/>
              </w:rPr>
              <w:t xml:space="preserve">59:07:0000000:5306</w:t>
            </w:r>
            <w:r w:rsidDel="00000000" w:rsidR="00000000" w:rsidRPr="00000000">
              <w:rPr>
                <w:rtl w:val="0"/>
              </w:rPr>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Российская Федерация, Пермский край, г.о. Краснокамский, рп Оверята, гск Сигнал (ул. Комсомольская), гараж 43</w:t>
            </w:r>
          </w:p>
          <w:p w:rsidR="00000000" w:rsidDel="00000000" w:rsidP="00000000" w:rsidRDefault="00000000" w:rsidRPr="00000000" w14:paraId="0000000C">
            <w:pPr>
              <w:jc w:val="both"/>
              <w:rPr>
                <w:color w:val="000000"/>
                <w:sz w:val="20"/>
                <w:szCs w:val="20"/>
              </w:rPr>
            </w:pPr>
            <w:r w:rsidDel="00000000" w:rsidR="00000000" w:rsidRPr="00000000">
              <w:rPr>
                <w:color w:val="000000"/>
                <w:sz w:val="20"/>
                <w:szCs w:val="20"/>
                <w:rtl w:val="0"/>
              </w:rPr>
              <w:t xml:space="preserve">Площадь, кв.м</w:t>
            </w:r>
          </w:p>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36</w:t>
            </w:r>
          </w:p>
        </w:tc>
      </w:tr>
    </w:tbl>
    <w:p w:rsidR="00000000" w:rsidDel="00000000" w:rsidP="00000000" w:rsidRDefault="00000000" w:rsidRPr="00000000" w14:paraId="0000000E">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0F">
      <w:pPr>
        <w:spacing w:line="240" w:lineRule="auto"/>
        <w:jc w:val="both"/>
        <w:rPr>
          <w:sz w:val="26"/>
          <w:szCs w:val="26"/>
        </w:rPr>
      </w:pPr>
      <w:r w:rsidDel="00000000" w:rsidR="00000000" w:rsidRPr="00000000">
        <w:rPr>
          <w:rtl w:val="0"/>
        </w:rPr>
      </w:r>
    </w:p>
    <w:p w:rsidR="00000000" w:rsidDel="00000000" w:rsidP="00000000" w:rsidRDefault="00000000" w:rsidRPr="00000000" w14:paraId="00000010">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11">
      <w:pPr>
        <w:spacing w:line="240" w:lineRule="auto"/>
        <w:ind w:firstLine="425"/>
        <w:jc w:val="both"/>
        <w:rPr>
          <w:sz w:val="26"/>
          <w:szCs w:val="26"/>
        </w:rPr>
      </w:pPr>
      <w:r w:rsidDel="00000000" w:rsidR="00000000" w:rsidRPr="00000000">
        <w:rPr>
          <w:sz w:val="26"/>
          <w:szCs w:val="26"/>
          <w:rtl w:val="0"/>
        </w:rPr>
        <w:t xml:space="preserve">Предполагаемая дата проведения обследования: 05.03.2024</w:t>
      </w:r>
    </w:p>
    <w:p w:rsidR="00000000" w:rsidDel="00000000" w:rsidP="00000000" w:rsidRDefault="00000000" w:rsidRPr="00000000" w14:paraId="0000001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13">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14">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15">
      <w:pPr>
        <w:spacing w:line="240" w:lineRule="auto"/>
        <w:ind w:firstLine="425"/>
        <w:jc w:val="both"/>
        <w:rPr>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16">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1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18">
      <w:pPr>
        <w:spacing w:line="240" w:lineRule="auto"/>
        <w:ind w:firstLine="425"/>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19">
      <w:pPr>
        <w:ind w:firstLine="426"/>
        <w:jc w:val="both"/>
        <w:rPr/>
      </w:pPr>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