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ОБОБЩЕННАЯ ИНФОРМАЦИЯ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исполнении (ненадлежащем исполнении) лицами, замещающими муниципальные должности </w:t>
        <w:br w:type="textWrapping"/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2023 год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color w:val="2d2d2d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"/>
        <w:gridCol w:w="12585"/>
        <w:gridCol w:w="2126"/>
        <w:tblGridChange w:id="0">
          <w:tblGrid>
            <w:gridCol w:w="595"/>
            <w:gridCol w:w="12585"/>
            <w:gridCol w:w="2126"/>
          </w:tblGrid>
        </w:tblGridChange>
      </w:tblGrid>
      <w:tr>
        <w:trPr>
          <w:cantSplit w:val="1"/>
          <w:trHeight w:val="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представительного органа муниципального образования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Дума Краснокамского городского округа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  <w:br w:type="textWrapping"/>
              <w:t xml:space="preserve">своих супруг (супругов) и несовершеннолетних детей, из них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представивших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по объективным причинам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в случаях, предусмотренных частью 1 статьи 3 </w:t>
              <w:br w:type="textWrapping"/>
              <w:t xml:space="preserve"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представивших сведения о доходах, расходах, об имуществе и обязательствах имущественного характера </w:t>
              <w:br w:type="textWrapping"/>
              <w:t xml:space="preserve">своих супруг (супругов) и несовершеннолетних детей по объективным причинам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