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F257C" w:rsidRDefault="006F257C" w:rsidP="006F257C">
      <w:pPr>
        <w:autoSpaceDE w:val="0"/>
        <w:autoSpaceDN w:val="0"/>
        <w:adjustRightInd w:val="0"/>
        <w:jc w:val="center"/>
        <w:ind w:firstLine="709"/>
        <w:rPr>
          <w:sz w:val="28"/>
          <w:szCs w:val="28"/>
        </w:rPr>
      </w:pPr>
    </w:p>
    <w:tbl>
      <w:tblPr>
        <w:tblW w:w="10207" w:type="dxa"/>
        <w:tblLayout w:type="fixed"/>
        <w:tblInd w:w="-318" w:type="dxa"/>
        <w:tblStyle w:val="a3"/>
        <w:tblLook w:val="4A0"/>
      </w:tblPr>
      <w:tblGrid>
        <w:gridCol w:w="531"/>
        <w:gridCol w:w="4255"/>
        <w:gridCol w:w="1310"/>
        <w:gridCol w:w="1560"/>
        <w:gridCol w:w="1417"/>
        <w:gridCol w:w="1134"/>
      </w:tblGrid>
      <w:tr w:rsidR="00F6275B" w:rsidRPr="005B4F52" w:rsidTr="004D6241">
        <w:trPr>
          <w:trHeight w:val="345"/>
        </w:trPr>
        <w:tc>
          <w:tcPr>
            <w:hideMark/>
            <w:tcBorders>
              <w:top w:val="single" w:sz="4" w:color="auto" w:space="0"/>
            </w:tcBorders>
            <w:vAlign w:val="center"/>
            <w:vMerge w:val="restart"/>
            <w:tcW w:w="531" w:type="dxa"/>
          </w:tcPr>
          <w:p w:rsidR="00F6275B" w:rsidRDefault="00F6275B" w:rsidP="004D6241" w:rsidRPr="005B4F52">
            <w:pPr>
              <w:jc w:val="center"/>
              <w:rPr>
                <w:bCs/>
                <w:b/>
              </w:rPr>
            </w:pPr>
            <w:r w:rsidRPr="005B4F52">
              <w:rPr>
                <w:bCs/>
                <w:b/>
              </w:rPr>
              <w:t xml:space="preserve">№ </w:t>
            </w:r>
            <w:proofErr w:type="gramStart"/>
            <w:r w:rsidRPr="005B4F52">
              <w:rPr>
                <w:bCs/>
                <w:b/>
              </w:rPr>
              <w:t>п</w:t>
            </w:r>
            <w:proofErr w:type="gramEnd"/>
            <w:r w:rsidRPr="005B4F52">
              <w:rPr>
                <w:bCs/>
                <w:b/>
              </w:rPr>
              <w:t>/п</w:t>
            </w:r>
          </w:p>
        </w:tc>
        <w:tc>
          <w:tcPr>
            <w:hideMark/>
            <w:tcBorders>
              <w:top w:val="single" w:sz="4" w:color="auto" w:space="0"/>
            </w:tcBorders>
            <w:vAlign w:val="center"/>
            <w:vMerge w:val="restart"/>
            <w:tcW w:w="4255" w:type="dxa"/>
          </w:tcPr>
          <w:p w:rsidR="00F6275B" w:rsidRDefault="00F6275B" w:rsidP="004D6241" w:rsidRPr="005B4F52">
            <w:pPr>
              <w:jc w:val="center"/>
              <w:rPr>
                <w:bCs/>
                <w:b/>
              </w:rPr>
            </w:pPr>
            <w:r w:rsidRPr="005B4F52">
              <w:rPr>
                <w:bCs/>
                <w:b/>
              </w:rPr>
              <w:t>Адресный ориентир остановки специализированного автотранспорта</w:t>
            </w:r>
          </w:p>
        </w:tc>
        <w:tc>
          <w:tcPr>
            <w:hideMark/>
            <w:tcBorders>
              <w:top w:val="single" w:sz="4" w:color="auto" w:space="0"/>
            </w:tcBorders>
            <w:vAlign w:val="center"/>
            <w:vMerge w:val="restart"/>
            <w:tcW w:w="1310" w:type="dxa"/>
          </w:tcPr>
          <w:p w:rsidR="00F6275B" w:rsidRDefault="00F6275B" w:rsidP="004D6241" w:rsidRPr="005B4F52">
            <w:pPr>
              <w:jc w:val="center"/>
              <w:rPr>
                <w:bCs/>
                <w:b/>
              </w:rPr>
            </w:pPr>
            <w:r w:rsidRPr="005B4F52">
              <w:rPr>
                <w:bCs/>
                <w:b/>
              </w:rPr>
              <w:t>Потребитель</w:t>
            </w:r>
          </w:p>
        </w:tc>
        <w:tc>
          <w:tcPr>
            <w:hideMark/>
            <w:tcBorders>
              <w:top w:val="single" w:sz="4" w:color="auto" w:space="0"/>
            </w:tcBorders>
            <w:vAlign w:val="center"/>
            <w:vMerge w:val="restart"/>
            <w:tcW w:w="1560" w:type="dxa"/>
          </w:tcPr>
          <w:p w:rsidR="00F6275B" w:rsidRDefault="00F6275B" w:rsidP="004D6241" w:rsidRPr="005B4F52">
            <w:pPr>
              <w:jc w:val="center"/>
              <w:rPr>
                <w:bCs/>
                <w:b/>
              </w:rPr>
            </w:pPr>
            <w:r w:rsidRPr="005B4F52">
              <w:rPr>
                <w:bCs/>
                <w:b/>
              </w:rPr>
              <w:t>День недели</w:t>
            </w:r>
          </w:p>
        </w:tc>
        <w:tc>
          <w:tcPr>
            <w:hideMark/>
            <w:gridSpan w:val="2"/>
            <w:tcBorders>
              <w:top w:val="single" w:sz="4" w:color="auto" w:space="0"/>
            </w:tcBorders>
            <w:vAlign w:val="center"/>
            <w:tcW w:w="2551" w:type="dxa"/>
          </w:tcPr>
          <w:p w:rsidR="00F6275B" w:rsidRDefault="00F6275B" w:rsidP="004D6241" w:rsidRPr="005B4F52">
            <w:pPr>
              <w:jc w:val="center"/>
              <w:rPr>
                <w:bCs/>
                <w:b/>
              </w:rPr>
            </w:pPr>
            <w:r>
              <w:rPr>
                <w:bCs/>
                <w:b/>
              </w:rPr>
              <w:t>Время</w:t>
            </w:r>
          </w:p>
        </w:tc>
      </w:tr>
      <w:tr w:rsidR="00F6275B" w:rsidRPr="005B4F52" w:rsidTr="004D6241">
        <w:trPr>
          <w:trHeight w:val="345"/>
        </w:trPr>
        <w:tc>
          <w:tcPr>
            <w:vMerge/>
            <w:hideMark/>
            <w:tcBorders>
              <w:top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</w:tcBorders>
          </w:tcPr>
          <w:p/>
        </w:tc>
        <w:tc>
          <w:tcPr>
            <w:hideMark/>
            <w:vAlign w:val="center"/>
            <w:tcW w:w="1417" w:type="dxa"/>
          </w:tcPr>
          <w:p w:rsidR="00F6275B" w:rsidRDefault="00F6275B" w:rsidP="004D6241" w:rsidRPr="005B4F52">
            <w:pPr>
              <w:jc w:val="center"/>
              <w:rPr>
                <w:bCs/>
                <w:b/>
              </w:rPr>
            </w:pPr>
            <w:r w:rsidRPr="005B4F52">
              <w:rPr>
                <w:bCs/>
                <w:b/>
              </w:rPr>
              <w:t>прибытия</w:t>
            </w:r>
          </w:p>
        </w:tc>
        <w:tc>
          <w:tcPr>
            <w:hideMark/>
            <w:vAlign w:val="center"/>
            <w:tcW w:w="1134" w:type="dxa"/>
          </w:tcPr>
          <w:p w:rsidR="00F6275B" w:rsidRDefault="00F6275B" w:rsidP="004D6241" w:rsidRPr="005B4F52">
            <w:pPr>
              <w:jc w:val="center"/>
              <w:rPr>
                <w:bCs/>
                <w:b/>
              </w:rPr>
            </w:pPr>
            <w:r w:rsidRPr="005B4F52">
              <w:rPr>
                <w:bCs/>
                <w:b/>
              </w:rPr>
              <w:t>убытия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</w:t>
            </w:r>
          </w:p>
        </w:tc>
        <w:tc>
          <w:tcPr>
            <w:hideMark/>
            <w:vMerge w:val="restart"/>
            <w:tcW w:w="4255" w:type="dxa"/>
          </w:tcPr>
          <w:p w:rsidR="00F6275B" w:rsidRDefault="00F6275B" w:rsidP="004D6241" w:rsidRPr="005B4F52">
            <w:r w:rsidRPr="004A7221">
              <w:t xml:space="preserve">п. </w:t>
            </w:r>
            <w:proofErr w:type="gramStart"/>
            <w:r w:rsidRPr="004A7221">
              <w:t>Майский</w:t>
            </w:r>
            <w:proofErr w:type="gramEnd"/>
            <w:r w:rsidRPr="004A7221">
              <w:t>, Марли ул.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06-30</w:t>
            </w:r>
          </w:p>
          <w:p w:rsidR="00F6275B" w:rsidRDefault="00F6275B" w:rsidP="004D6241" w:rsidRPr="003A1A89">
            <w:pPr>
              <w:jc w:val="center"/>
            </w:pPr>
            <w:r>
              <w:t>17-30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06-35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17-35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15-00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15-05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2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 w:rsidRPr="004A7221">
              <w:t>п. Майский, Южная ул., 2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06-40</w:t>
            </w:r>
          </w:p>
          <w:p w:rsidR="00F6275B" w:rsidRDefault="00F6275B" w:rsidP="004D6241" w:rsidRPr="003A1A89">
            <w:pPr>
              <w:jc w:val="center"/>
            </w:pPr>
            <w:r>
              <w:t>17-40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06-43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17-43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15-10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15-13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3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 w:rsidRPr="004A7221">
              <w:t>п. Майский, Западная ул.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06-45</w:t>
            </w:r>
          </w:p>
          <w:p w:rsidR="00F6275B" w:rsidRDefault="00F6275B" w:rsidP="004D6241" w:rsidRPr="003A1A89">
            <w:pPr>
              <w:jc w:val="center"/>
            </w:pPr>
            <w:r>
              <w:t>17-45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06-50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17-50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15-15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15-20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4</w:t>
            </w:r>
          </w:p>
        </w:tc>
        <w:tc>
          <w:tcPr>
            <w:hideMark/>
            <w:vMerge w:val="restart"/>
            <w:tcW w:w="4255" w:type="dxa"/>
          </w:tcPr>
          <w:p w:rsidR="00F6275B" w:rsidRDefault="00F6275B" w:rsidP="004D6241" w:rsidRPr="005B4F52">
            <w:r w:rsidRPr="004A7221">
              <w:t>п. Майский, Северная ул., 5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06-55</w:t>
            </w:r>
          </w:p>
          <w:p w:rsidR="00F6275B" w:rsidRDefault="00F6275B" w:rsidP="004D6241" w:rsidRPr="003A1A89">
            <w:pPr>
              <w:jc w:val="center"/>
            </w:pPr>
            <w:r>
              <w:t>17-55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06-58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17-58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15-25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15-28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5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 w:rsidRPr="004A7221">
              <w:t>п. Майский, Зеленый пер.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07-00</w:t>
            </w:r>
          </w:p>
          <w:p w:rsidR="00F6275B" w:rsidRDefault="00F6275B" w:rsidP="004D6241" w:rsidRPr="003A1A89">
            <w:pPr>
              <w:jc w:val="center"/>
            </w:pPr>
            <w:r>
              <w:t>18-00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07-03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18-03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15-30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15-33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6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 w:rsidRPr="004A7221">
              <w:t xml:space="preserve">п. </w:t>
            </w:r>
            <w:proofErr w:type="gramStart"/>
            <w:r w:rsidRPr="004A7221">
              <w:t>Майский</w:t>
            </w:r>
            <w:proofErr w:type="gramEnd"/>
            <w:r w:rsidRPr="004A7221">
              <w:t>, Культуры ул.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07-05</w:t>
            </w:r>
          </w:p>
          <w:p w:rsidR="00F6275B" w:rsidRDefault="00F6275B" w:rsidP="004D6241" w:rsidRPr="003A1A89">
            <w:pPr>
              <w:jc w:val="center"/>
            </w:pPr>
            <w:r>
              <w:t>18-05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07-10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18-10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15-35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15-40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7</w:t>
            </w:r>
          </w:p>
        </w:tc>
        <w:tc>
          <w:tcPr>
            <w:hideMark/>
            <w:vMerge w:val="restart"/>
            <w:tcW w:w="4255" w:type="dxa"/>
          </w:tcPr>
          <w:p w:rsidR="00F6275B" w:rsidRDefault="00F6275B" w:rsidP="004D6241" w:rsidRPr="005B4F52">
            <w:r w:rsidRPr="004A7221">
              <w:t>п. Майский, Центральная ул., 19, 23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07-15</w:t>
            </w:r>
          </w:p>
          <w:p w:rsidR="00F6275B" w:rsidRDefault="00F6275B" w:rsidP="004D6241" w:rsidRPr="003A1A89">
            <w:pPr>
              <w:jc w:val="center"/>
            </w:pPr>
            <w:r>
              <w:t>18-15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07-18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18-18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 w:rsidRPr="00A97BB7"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15-45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15-48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8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 w:rsidRPr="004A7221">
              <w:t>п. Майский, Центральная ул., 16, 18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07-20</w:t>
            </w:r>
          </w:p>
          <w:p w:rsidR="00F6275B" w:rsidRDefault="00F6275B" w:rsidP="004D6241" w:rsidRPr="003A1A89">
            <w:pPr>
              <w:jc w:val="center"/>
            </w:pPr>
            <w:r>
              <w:t>18-20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07-25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18-25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15-50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15-55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9</w:t>
            </w:r>
          </w:p>
        </w:tc>
        <w:tc>
          <w:tcPr>
            <w:hideMark/>
            <w:vMerge w:val="restart"/>
            <w:tcW w:w="4255" w:type="dxa"/>
          </w:tcPr>
          <w:p w:rsidR="00F6275B" w:rsidRDefault="00F6275B" w:rsidP="004D6241" w:rsidRPr="005B4F52">
            <w:r>
              <w:t>п. Майский, Центральная ул., 14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07-30</w:t>
            </w:r>
          </w:p>
          <w:p w:rsidR="00F6275B" w:rsidRDefault="00F6275B" w:rsidP="004D6241" w:rsidRPr="003A1A89">
            <w:pPr>
              <w:jc w:val="center"/>
            </w:pPr>
            <w:r>
              <w:t>18-30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07-35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18-35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16-05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10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>п. Майский, Центральная ул., 8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07-40</w:t>
            </w:r>
          </w:p>
          <w:p w:rsidR="00F6275B" w:rsidRDefault="00F6275B" w:rsidP="004D6241" w:rsidRPr="003A1A89">
            <w:pPr>
              <w:jc w:val="center"/>
            </w:pPr>
            <w:r>
              <w:t>18-40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07-45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18-45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16-10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16-15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11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п. Майский, Центральная ул., </w:t>
            </w:r>
            <w:r w:rsidRPr="004A7221">
              <w:t>4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07-50</w:t>
            </w:r>
          </w:p>
          <w:p w:rsidR="00F6275B" w:rsidRDefault="00F6275B" w:rsidP="004D6241" w:rsidRPr="003A1A89">
            <w:pPr>
              <w:jc w:val="center"/>
            </w:pPr>
            <w:r>
              <w:t>18-50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07-55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18-55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16-20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16-25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12</w:t>
            </w:r>
          </w:p>
        </w:tc>
        <w:tc>
          <w:tcPr>
            <w:hideMark/>
            <w:vMerge w:val="restart"/>
            <w:tcW w:w="4255" w:type="dxa"/>
          </w:tcPr>
          <w:p w:rsidR="00F6275B" w:rsidRDefault="00F6275B" w:rsidP="004D6241" w:rsidRPr="005B4F52">
            <w:r w:rsidRPr="002B0CD2">
              <w:t xml:space="preserve">п. Майский, </w:t>
            </w:r>
            <w:proofErr w:type="spellStart"/>
            <w:r w:rsidRPr="002B0CD2">
              <w:t>Красногорская</w:t>
            </w:r>
            <w:proofErr w:type="spellEnd"/>
            <w:r w:rsidRPr="002B0CD2">
              <w:t xml:space="preserve"> ул., 1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08-00</w:t>
            </w:r>
          </w:p>
          <w:p w:rsidR="00F6275B" w:rsidRDefault="00F6275B" w:rsidP="004D6241" w:rsidRPr="003A1A89">
            <w:pPr>
              <w:jc w:val="center"/>
            </w:pPr>
            <w:r>
              <w:t>19-00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08-05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19-05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16-30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16-35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13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 w:rsidRPr="002B0CD2">
              <w:t xml:space="preserve">п. </w:t>
            </w:r>
            <w:proofErr w:type="gramStart"/>
            <w:r w:rsidRPr="002B0CD2">
              <w:t>Майский</w:t>
            </w:r>
            <w:proofErr w:type="gramEnd"/>
            <w:r w:rsidRPr="002B0CD2">
              <w:t>, 9-й Пятилетки ул., 8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08-10</w:t>
            </w:r>
          </w:p>
          <w:p w:rsidR="00F6275B" w:rsidRDefault="00F6275B" w:rsidP="004D6241" w:rsidRPr="003A1A89">
            <w:pPr>
              <w:jc w:val="center"/>
            </w:pPr>
            <w:r>
              <w:t>19-10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08-15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19-15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16-45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14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 w:rsidRPr="002B0CD2">
              <w:t xml:space="preserve">п. </w:t>
            </w:r>
            <w:proofErr w:type="gramStart"/>
            <w:r w:rsidRPr="002B0CD2">
              <w:t>Майский</w:t>
            </w:r>
            <w:proofErr w:type="gramEnd"/>
            <w:r w:rsidRPr="002B0CD2">
              <w:t xml:space="preserve">, 9-й Пятилетки ул., </w:t>
            </w:r>
            <w:r>
              <w:t>2, 4, 6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417" w:type="dxa"/>
          </w:tcPr>
          <w:p w:rsidR="00F6275B" w:rsidRDefault="00F6275B" w:rsidP="004D6241">
            <w:pPr>
              <w:jc w:val="center"/>
            </w:pPr>
            <w:r>
              <w:t>08-20</w:t>
            </w:r>
          </w:p>
          <w:p w:rsidR="00F6275B" w:rsidRDefault="00F6275B" w:rsidP="004D6241" w:rsidRPr="003A1A89">
            <w:pPr>
              <w:jc w:val="center"/>
            </w:pPr>
            <w:r>
              <w:t>19-20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08-25</w:t>
            </w:r>
          </w:p>
          <w:p w:rsidR="00F6275B" w:rsidRDefault="00F6275B" w:rsidP="004D6241" w:rsidRPr="00BE1E14">
            <w:pPr>
              <w:jc w:val="center"/>
            </w:pPr>
            <w:r w:rsidRPr="00BE1E14">
              <w:t>19-25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16-50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>
              <w:t>16-55</w:t>
            </w:r>
          </w:p>
        </w:tc>
      </w:tr>
      <w:tr w:rsidR="00F6275B" w:rsidRPr="00055748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055748">
            <w:pPr>
              <w:jc w:val="center"/>
            </w:pPr>
            <w:r w:rsidRPr="00055748"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055748">
            <w:pPr>
              <w:jc w:val="center"/>
            </w:pPr>
            <w:r>
              <w:t>17-20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055748">
            <w:pPr>
              <w:jc w:val="center"/>
            </w:pPr>
            <w:r>
              <w:t>17-25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15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 w:rsidRPr="00680CB6">
              <w:t xml:space="preserve">с. </w:t>
            </w:r>
            <w:proofErr w:type="spellStart"/>
            <w:r w:rsidRPr="00680CB6">
              <w:t>Усть</w:t>
            </w:r>
            <w:proofErr w:type="spellEnd"/>
            <w:r w:rsidRPr="00680CB6">
              <w:t xml:space="preserve">-Сыны, перекресток </w:t>
            </w:r>
            <w:proofErr w:type="gramStart"/>
            <w:r w:rsidRPr="00680CB6">
              <w:t>Совхозная</w:t>
            </w:r>
            <w:proofErr w:type="gramEnd"/>
            <w:r w:rsidRPr="00680CB6">
              <w:t xml:space="preserve"> ул. – Светлая ул.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16-05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10-00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10-05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16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 w:rsidRPr="00680CB6">
              <w:t xml:space="preserve">с. </w:t>
            </w:r>
            <w:proofErr w:type="spellStart"/>
            <w:r w:rsidRPr="00680CB6">
              <w:t>Усть</w:t>
            </w:r>
            <w:proofErr w:type="spellEnd"/>
            <w:r w:rsidRPr="00680CB6">
              <w:t xml:space="preserve">-Сыны, перекресток </w:t>
            </w:r>
            <w:proofErr w:type="gramStart"/>
            <w:r w:rsidRPr="00680CB6">
              <w:t>Совхозная</w:t>
            </w:r>
            <w:proofErr w:type="gramEnd"/>
            <w:r w:rsidRPr="00680CB6">
              <w:t xml:space="preserve"> ул. – Тихая ул.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16-10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16-15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10-10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10-15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17</w:t>
            </w:r>
          </w:p>
        </w:tc>
        <w:tc>
          <w:tcPr>
            <w:hideMark/>
            <w:vMerge w:val="restart"/>
            <w:tcW w:w="4255" w:type="dxa"/>
          </w:tcPr>
          <w:p w:rsidR="00F6275B" w:rsidRDefault="00F6275B" w:rsidP="004D6241" w:rsidRPr="005B4F52">
            <w:r>
              <w:t xml:space="preserve">с. </w:t>
            </w:r>
            <w:proofErr w:type="spellStart"/>
            <w:r>
              <w:t>Усть</w:t>
            </w:r>
            <w:proofErr w:type="spellEnd"/>
            <w:r>
              <w:t>-Сыны, Речная ул., 13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16-20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16-25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10-20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10-25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18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с. </w:t>
            </w:r>
            <w:proofErr w:type="spellStart"/>
            <w:r>
              <w:t>Усть</w:t>
            </w:r>
            <w:proofErr w:type="spellEnd"/>
            <w:r>
              <w:t>-Сыны, Речная ул., 25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16-30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16-35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10-30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10-35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19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с. </w:t>
            </w:r>
            <w:proofErr w:type="spellStart"/>
            <w:r>
              <w:t>Усть</w:t>
            </w:r>
            <w:proofErr w:type="spellEnd"/>
            <w:r>
              <w:t>-Сыны, Речная ул., 31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16-45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10-40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10-45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20</w:t>
            </w:r>
          </w:p>
        </w:tc>
        <w:tc>
          <w:tcPr>
            <w:hideMark/>
            <w:vMerge w:val="restart"/>
            <w:tcW w:w="4255" w:type="dxa"/>
          </w:tcPr>
          <w:p w:rsidR="00F6275B" w:rsidRDefault="00F6275B" w:rsidP="004D6241" w:rsidRPr="005B4F52">
            <w:r>
              <w:t xml:space="preserve">с. </w:t>
            </w:r>
            <w:proofErr w:type="spellStart"/>
            <w:r>
              <w:t>Усть</w:t>
            </w:r>
            <w:proofErr w:type="spellEnd"/>
            <w:r>
              <w:t>-Сыны, Речная ул., 36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16-50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16-55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10-50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10-55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21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Карабаи</w:t>
            </w:r>
            <w:proofErr w:type="spellEnd"/>
            <w:r>
              <w:t>, Полевая ул.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17-10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17-20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11-10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11-20</w:t>
            </w:r>
          </w:p>
        </w:tc>
      </w:tr>
      <w:tr w:rsidR="00F6275B" w:rsidRPr="00BE1E14" w:rsidTr="004D6241">
        <w:trPr>
          <w:trHeight w:val="330"/>
        </w:trPr>
        <w:tc>
          <w:tcPr>
            <w:shd w:fill="auto" w:color="auto" w:val="clear"/>
            <w:vMerge w:val="restart"/>
            <w:tcW w:w="531" w:type="dxa"/>
          </w:tcPr>
          <w:p w:rsidR="00F6275B" w:rsidRDefault="00F6275B" w:rsidP="004D6241" w:rsidRPr="00082B81">
            <w:pPr>
              <w:jc w:val="center"/>
            </w:pPr>
            <w:r>
              <w:t>22</w:t>
            </w:r>
          </w:p>
        </w:tc>
        <w:tc>
          <w:tcPr>
            <w:shd w:fill="auto" w:color="auto" w:val="clear"/>
            <w:vMerge w:val="restart"/>
            <w:tcW w:w="4255" w:type="dxa"/>
          </w:tcPr>
          <w:p w:rsidR="00F6275B" w:rsidRDefault="00F6275B" w:rsidP="004D6241" w:rsidRPr="00082B81">
            <w:r w:rsidRPr="00082B81">
              <w:t xml:space="preserve">д. </w:t>
            </w:r>
            <w:proofErr w:type="spellStart"/>
            <w:r w:rsidRPr="00082B81">
              <w:t>Волеги</w:t>
            </w:r>
            <w:proofErr w:type="spellEnd"/>
          </w:p>
        </w:tc>
        <w:tc>
          <w:tcPr>
            <w:shd w:fill="auto" w:color="auto" w:val="clear"/>
            <w:vMerge w:val="restart"/>
            <w:tcW w:w="1310" w:type="dxa"/>
          </w:tcPr>
          <w:p w:rsidR="00F6275B" w:rsidRDefault="00F6275B" w:rsidP="004D6241" w:rsidRPr="00082B81">
            <w:r w:rsidRPr="00082B81">
              <w:t>население</w:t>
            </w:r>
          </w:p>
        </w:tc>
        <w:tc>
          <w:tcPr>
            <w:shd w:fill="auto" w:color="auto" w:val="clear"/>
            <w:tcW w:w="1560" w:type="dxa"/>
          </w:tcPr>
          <w:p w:rsidR="00F6275B" w:rsidRDefault="00F6275B" w:rsidP="004D6241" w:rsidRPr="00082B81">
            <w:pPr>
              <w:jc w:val="center"/>
            </w:pPr>
            <w:r w:rsidRPr="00082B81">
              <w:t>среда</w:t>
            </w:r>
          </w:p>
        </w:tc>
        <w:tc>
          <w:tcPr>
            <w:shd w:fill="auto" w:color="auto" w:val="clear"/>
            <w:tcW w:w="1417" w:type="dxa"/>
          </w:tcPr>
          <w:p w:rsidR="00F6275B" w:rsidRDefault="00F6275B" w:rsidP="004D6241" w:rsidRPr="00082B81">
            <w:pPr>
              <w:jc w:val="center"/>
            </w:pPr>
            <w:r w:rsidRPr="00082B81">
              <w:t>17-40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17-55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shd w:fill="auto" w:color="auto" w:val="clear"/>
            <w:tcW w:w="1560" w:type="dxa"/>
          </w:tcPr>
          <w:p w:rsidR="00F6275B" w:rsidRDefault="00F6275B" w:rsidP="004D6241" w:rsidRPr="00082B81">
            <w:pPr>
              <w:jc w:val="center"/>
            </w:pPr>
            <w:r w:rsidRPr="00082B81">
              <w:t>суббота</w:t>
            </w:r>
          </w:p>
        </w:tc>
        <w:tc>
          <w:tcPr>
            <w:shd w:fill="auto" w:color="auto" w:val="clear"/>
            <w:tcW w:w="1417" w:type="dxa"/>
          </w:tcPr>
          <w:p w:rsidR="00F6275B" w:rsidRDefault="00F6275B" w:rsidP="004D6241" w:rsidRPr="00082B81">
            <w:pPr>
              <w:jc w:val="center"/>
            </w:pPr>
            <w:r w:rsidRPr="00082B81">
              <w:t>11-40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11-55</w:t>
            </w:r>
          </w:p>
        </w:tc>
      </w:tr>
      <w:tr w:rsidR="00F6275B" w:rsidRPr="00BE1E14" w:rsidTr="004D6241">
        <w:trPr>
          <w:trHeight w:val="330"/>
        </w:trPr>
        <w:tc>
          <w:tcPr>
            <w:shd w:fill="auto" w:color="auto" w:val="clear"/>
            <w:vMerge w:val="restart"/>
            <w:tcW w:w="531" w:type="dxa"/>
          </w:tcPr>
          <w:p w:rsidR="00F6275B" w:rsidRDefault="00F6275B" w:rsidP="004D6241" w:rsidRPr="00082B81">
            <w:pPr>
              <w:jc w:val="center"/>
            </w:pPr>
            <w:r>
              <w:t>23</w:t>
            </w:r>
          </w:p>
        </w:tc>
        <w:tc>
          <w:tcPr>
            <w:shd w:fill="auto" w:color="auto" w:val="clear"/>
            <w:vMerge w:val="restart"/>
            <w:tcW w:w="4255" w:type="dxa"/>
          </w:tcPr>
          <w:p w:rsidR="00F6275B" w:rsidRDefault="00F6275B" w:rsidP="004D6241" w:rsidRPr="00082B81">
            <w:r w:rsidRPr="00082B81">
              <w:t xml:space="preserve">д. </w:t>
            </w:r>
            <w:proofErr w:type="gramStart"/>
            <w:r w:rsidRPr="00082B81">
              <w:t>Нижние</w:t>
            </w:r>
            <w:proofErr w:type="gramEnd"/>
            <w:r w:rsidRPr="00082B81">
              <w:t xml:space="preserve"> </w:t>
            </w:r>
            <w:proofErr w:type="spellStart"/>
            <w:r w:rsidRPr="00082B81">
              <w:t>Симонята</w:t>
            </w:r>
            <w:proofErr w:type="spellEnd"/>
            <w:r w:rsidRPr="00082B81">
              <w:t>, Набережная ул., 15</w:t>
            </w:r>
          </w:p>
        </w:tc>
        <w:tc>
          <w:tcPr>
            <w:shd w:fill="auto" w:color="auto" w:val="clear"/>
            <w:vMerge w:val="restart"/>
            <w:tcW w:w="1310" w:type="dxa"/>
          </w:tcPr>
          <w:p w:rsidR="00F6275B" w:rsidRDefault="00F6275B" w:rsidP="004D6241" w:rsidRPr="00082B81">
            <w:r w:rsidRPr="00082B81">
              <w:t>население</w:t>
            </w:r>
          </w:p>
        </w:tc>
        <w:tc>
          <w:tcPr>
            <w:shd w:fill="auto" w:color="auto" w:val="clear"/>
            <w:tcW w:w="1560" w:type="dxa"/>
          </w:tcPr>
          <w:p w:rsidR="00F6275B" w:rsidRDefault="00F6275B" w:rsidP="004D6241" w:rsidRPr="00082B81">
            <w:pPr>
              <w:jc w:val="center"/>
            </w:pPr>
            <w:r w:rsidRPr="00082B81">
              <w:t>среда</w:t>
            </w:r>
          </w:p>
        </w:tc>
        <w:tc>
          <w:tcPr>
            <w:shd w:fill="auto" w:color="auto" w:val="clear"/>
            <w:tcW w:w="1417" w:type="dxa"/>
          </w:tcPr>
          <w:p w:rsidR="00F6275B" w:rsidRDefault="00F6275B" w:rsidP="004D6241" w:rsidRPr="00082B81">
            <w:pPr>
              <w:jc w:val="center"/>
            </w:pPr>
            <w:r w:rsidRPr="00082B81">
              <w:t>18-00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18-20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shd w:fill="auto" w:color="auto" w:val="clear"/>
            <w:tcW w:w="1560" w:type="dxa"/>
          </w:tcPr>
          <w:p w:rsidR="00F6275B" w:rsidRDefault="00F6275B" w:rsidP="004D6241" w:rsidRPr="00082B81">
            <w:pPr>
              <w:jc w:val="center"/>
            </w:pPr>
            <w:r w:rsidRPr="00082B81">
              <w:t>суббота</w:t>
            </w:r>
          </w:p>
        </w:tc>
        <w:tc>
          <w:tcPr>
            <w:shd w:fill="auto" w:color="auto" w:val="clear"/>
            <w:tcW w:w="1417" w:type="dxa"/>
          </w:tcPr>
          <w:p w:rsidR="00F6275B" w:rsidRDefault="00F6275B" w:rsidP="004D6241" w:rsidRPr="00082B81">
            <w:pPr>
              <w:jc w:val="center"/>
            </w:pPr>
            <w:r w:rsidRPr="00082B81">
              <w:t>12-00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12-20</w:t>
            </w:r>
          </w:p>
        </w:tc>
      </w:tr>
      <w:tr w:rsidR="00F6275B" w:rsidRPr="00BE1E14" w:rsidTr="004D6241">
        <w:trPr>
          <w:trHeight w:val="330"/>
        </w:trPr>
        <w:tc>
          <w:tcPr>
            <w:shd w:fill="auto" w:color="auto" w:val="clear"/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24</w:t>
            </w:r>
          </w:p>
        </w:tc>
        <w:tc>
          <w:tcPr>
            <w:hideMark/>
            <w:shd w:fill="auto" w:color="auto" w:val="clear"/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 xml:space="preserve">, </w:t>
            </w:r>
            <w:proofErr w:type="spellStart"/>
            <w:r>
              <w:t>Матюжата</w:t>
            </w:r>
            <w:proofErr w:type="spellEnd"/>
            <w:r>
              <w:t xml:space="preserve"> ул., 5</w:t>
            </w:r>
          </w:p>
        </w:tc>
        <w:tc>
          <w:tcPr>
            <w:hideMark/>
            <w:shd w:fill="auto" w:color="auto" w:val="clear"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shd w:fill="auto" w:color="auto" w:val="clear"/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shd w:fill="auto" w:color="auto" w:val="clear"/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18-40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18-48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shd w:fill="auto" w:color="auto" w:val="clear"/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shd w:fill="auto" w:color="auto" w:val="clear"/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12-40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12-48</w:t>
            </w:r>
          </w:p>
        </w:tc>
      </w:tr>
      <w:tr w:rsidR="00F6275B" w:rsidRPr="00BE1E14" w:rsidTr="004D6241">
        <w:trPr>
          <w:trHeight w:val="330"/>
        </w:trPr>
        <w:tc>
          <w:tcPr>
            <w:shd w:fill="auto" w:color="auto" w:val="clear"/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25</w:t>
            </w:r>
          </w:p>
        </w:tc>
        <w:tc>
          <w:tcPr>
            <w:shd w:fill="auto" w:color="auto" w:val="clear"/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 xml:space="preserve">, </w:t>
            </w:r>
            <w:proofErr w:type="spellStart"/>
            <w:r>
              <w:t>Матюжата</w:t>
            </w:r>
            <w:proofErr w:type="spellEnd"/>
            <w:r>
              <w:t xml:space="preserve"> ул., 6</w:t>
            </w:r>
          </w:p>
        </w:tc>
        <w:tc>
          <w:tcPr>
            <w:hideMark/>
            <w:shd w:fill="auto" w:color="auto" w:val="clear"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shd w:fill="auto" w:color="auto" w:val="clear"/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shd w:fill="auto" w:color="auto" w:val="clear"/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18-50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18-55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shd w:fill="auto" w:color="auto" w:val="clear"/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shd w:fill="auto" w:color="auto" w:val="clear"/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12-50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12-55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26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>, Новая ул.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19-00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19-10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13-00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13-10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27</w:t>
            </w:r>
          </w:p>
        </w:tc>
        <w:tc>
          <w:tcPr>
            <w:hideMark/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>, Родниковая ул., 7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19-15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19-18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13-15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13-18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28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>, Пологая ул., 5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19-20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19-25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13-20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13-25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29</w:t>
            </w:r>
          </w:p>
        </w:tc>
        <w:tc>
          <w:tcPr>
            <w:hideMark/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>, Надежды ул., 9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19-30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19-35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13-30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13-35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30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>, Молодежная ул., 7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19-40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19-45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13-40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13-45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31</w:t>
            </w:r>
          </w:p>
        </w:tc>
        <w:tc>
          <w:tcPr>
            <w:hideMark/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>, Зеленый пер.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19-50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19-53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13-50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13-53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F6275B" w:rsidP="004D6241" w:rsidRPr="005B4F52">
            <w:pPr>
              <w:jc w:val="center"/>
            </w:pPr>
            <w:r>
              <w:t>32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>, Новостройки ул., 9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19-55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19-58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13-55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13-58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420E4D" w:rsidP="004D6241" w:rsidRPr="005B4F52">
            <w:pPr>
              <w:jc w:val="center"/>
            </w:pPr>
            <w:r>
              <w:t>33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>, Нагорная ул., 14</w:t>
            </w:r>
          </w:p>
        </w:tc>
        <w:tc>
          <w:tcPr>
            <w:hideMark/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20-00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20-05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hideMark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14-00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14-05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420E4D" w:rsidP="004D6241" w:rsidRPr="005B4F52">
            <w:pPr>
              <w:jc w:val="center"/>
            </w:pPr>
            <w:r>
              <w:t>34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>, Энтузиастов ул.</w:t>
            </w:r>
          </w:p>
        </w:tc>
        <w:tc>
          <w:tcPr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20-10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20-15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14-10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14-15</w:t>
            </w:r>
          </w:p>
        </w:tc>
      </w:tr>
      <w:tr w:rsidR="00F6275B" w:rsidRPr="00BE1E14" w:rsidTr="004D6241">
        <w:trPr>
          <w:trHeight w:val="330"/>
        </w:trPr>
        <w:tc>
          <w:tcPr>
            <w:vMerge w:val="restart"/>
            <w:tcW w:w="531" w:type="dxa"/>
          </w:tcPr>
          <w:p w:rsidR="00F6275B" w:rsidRDefault="00420E4D" w:rsidP="004D6241" w:rsidRPr="005B4F52">
            <w:pPr>
              <w:jc w:val="center"/>
            </w:pPr>
            <w:r>
              <w:t>35</w:t>
            </w:r>
          </w:p>
        </w:tc>
        <w:tc>
          <w:tcPr>
            <w:vMerge w:val="restart"/>
            <w:tcW w:w="4255" w:type="dxa"/>
          </w:tcPr>
          <w:p w:rsidR="00F6275B" w:rsidRDefault="00F6275B" w:rsidP="004D6241" w:rsidRPr="005B4F52">
            <w:r>
              <w:t xml:space="preserve">д. </w:t>
            </w:r>
            <w:proofErr w:type="spellStart"/>
            <w:r>
              <w:t>Фадеята</w:t>
            </w:r>
            <w:proofErr w:type="spellEnd"/>
            <w:r>
              <w:t>, Новостройки ул., 2, 6</w:t>
            </w:r>
          </w:p>
        </w:tc>
        <w:tc>
          <w:tcPr>
            <w:vMerge w:val="restart"/>
            <w:tcW w:w="1310" w:type="dxa"/>
          </w:tcPr>
          <w:p w:rsidR="00F6275B" w:rsidRDefault="00F6275B" w:rsidP="004D6241" w:rsidRPr="005B4F52">
            <w:r w:rsidRPr="005B4F52">
              <w:t>население</w:t>
            </w:r>
          </w:p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20-20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20-25</w:t>
            </w:r>
          </w:p>
        </w:tc>
      </w:tr>
      <w:tr w:rsidR="00F6275B" w:rsidRPr="00BE1E14" w:rsidTr="004D6241">
        <w:trPr>
          <w:trHeight w:val="33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tcW w:w="1560" w:type="dxa"/>
          </w:tcPr>
          <w:p w:rsidR="00F6275B" w:rsidRDefault="00F6275B" w:rsidP="004D6241" w:rsidRPr="005B4F52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F6275B" w:rsidRDefault="00F6275B" w:rsidP="004D6241" w:rsidRPr="003A1A89">
            <w:pPr>
              <w:jc w:val="center"/>
            </w:pPr>
            <w:r>
              <w:t>14-20</w:t>
            </w:r>
          </w:p>
        </w:tc>
        <w:tc>
          <w:tcPr>
            <w:shd w:fill="auto" w:color="auto" w:val="clear"/>
            <w:tcW w:w="1134" w:type="dxa"/>
          </w:tcPr>
          <w:p w:rsidR="00F6275B" w:rsidRDefault="00F6275B" w:rsidP="004D6241" w:rsidRPr="00BE1E14">
            <w:pPr>
              <w:jc w:val="center"/>
            </w:pPr>
            <w:r w:rsidRPr="00BE1E14">
              <w:t>14-25</w:t>
            </w:r>
          </w:p>
        </w:tc>
      </w:tr>
    </w:tbl>
    <w:p w:rsidR="00D47E86" w:rsidRDefault="00D47E86" w:rsidP="006F257C">
      <w:pPr>
        <w:autoSpaceDE w:val="0"/>
        <w:autoSpaceDN w:val="0"/>
        <w:adjustRightInd w:val="0"/>
        <w:jc w:val="both"/>
        <w:ind w:firstLine="709"/>
        <w:rPr>
          <w:sz w:val="28"/>
          <w:szCs w:val="28"/>
        </w:rPr>
      </w:pPr>
    </w:p>
    <w:p w:rsidR="00C55EE9" w:rsidRDefault="00ED3DC1" w:rsidP="006F257C">
      <w:pPr>
        <w:autoSpaceDE w:val="0"/>
        <w:autoSpaceDN w:val="0"/>
        <w:adjustRightInd w:val="0"/>
        <w:jc w:val="both"/>
        <w:ind w:firstLine="709"/>
        <w:rPr>
          <w:sz w:val="28"/>
          <w:szCs w:val="28"/>
        </w:rPr>
      </w:pPr>
    </w:p>
    <w:sectPr w:rsidR="00304F0E" w:rsidRPr="00964F72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6F257C"/>
    <w:rsid val="00064929"/>
    <w:rsid val="000C587C"/>
    <w:rsid val="00304F0E"/>
    <w:rsid val="00420E4D"/>
    <w:rsid val="00662890"/>
    <w:rsid val="006F257C"/>
    <w:rsid val="007C7528"/>
    <w:rsid val="00827987"/>
    <w:rsid val="00875133"/>
    <w:rsid val="00964F72"/>
    <w:rsid val="009837C4"/>
    <w:rsid val="00A109AF"/>
    <w:rsid val="00C55EE9"/>
    <w:rsid val="00D47E86"/>
    <w:rsid val="00DF2AFC"/>
    <w:rsid val="00EA3DAC"/>
    <w:rsid val="00ED3DC1"/>
    <w:rsid val="00F6275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7C"/>
    <w:pPr>
      <w:spacing w:after="0" w:line="240" w:lineRule="auto"/>
    </w:pPr>
    <w:rPr>
      <w:lang w:eastAsia="ru-RU"/>
      <w:rFonts w:ascii="Times New Roman" w:cs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ConsPlusNormal">
    <w:name w:val="ConsPlusNormal"/>
    <w:rsid w:val="00875133"/>
    <w:pPr>
      <w:autoSpaceDE w:val="0"/>
      <w:autoSpaceDN w:val="0"/>
      <w:adjustRightInd w:val="0"/>
      <w:spacing w:after="0" w:line="240" w:lineRule="auto"/>
    </w:pPr>
    <w:rPr>
      <w:lang w:eastAsia="ru-RU"/>
      <w:rFonts w:ascii="Times New Roman" w:cs="Times New Roman" w:eastAsia="Times New Roman" w:hAnsi="Times New Roman"/>
      <w:sz w:val="28"/>
      <w:szCs w:val="28"/>
    </w:r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827987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82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2023-12-01T10:10:00Z</dcterms:created>
  <dcterms:modified xsi:type="dcterms:W3CDTF">2023-12-04T03:08:00Z</dcterms:modified>
</cp:coreProperties>
</file>