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49" w:rsidRPr="00B10BCF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10B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ФОРМА ДОГОВОРА</w:t>
      </w:r>
    </w:p>
    <w:p w:rsidR="00A50F49" w:rsidRPr="00B10BCF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10B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 размещение нестационарного торгового объекта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________________ 20___ г.</w:t>
      </w:r>
      <w:bookmarkStart w:id="0" w:name="_GoBack"/>
      <w:bookmarkEnd w:id="0"/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 земельных и имущественных отношений администрации 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 именуемый  в дальнейшем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лице 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(должность, Ф.И.О.)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действующего на основании Положения, с одной стороны и _________________________________________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 или Ф.И.О. индивидуального предпринимателя)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именуемое(ый) в дальнейшем Владелец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лице ___________________________________________________,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(должность, Ф.И.О.)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действующего на основании ____________________________________________________________________, 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документа)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другой стороны, вместе   именуемые   Стороны, в   соответствии с действующим законодательством Российской Федерации, Пермского края и правовыми актами города Перми заключили настоящий договор о нижеследующем.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I. Предмет договора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1.1. На основании __________________________________________________________________________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документа, являющегося основанием для заключения договора)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предоставляет  Владельцу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право  на размещение нестационарного торгового  объекта  (далее  -  Объект)  в соответствии со схемой размещения нестационарных  торговых  объектов на территории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утвержденной Постановлением администрации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_______________: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учетный номер: ___________________________________________________________;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адресные ориентиры: ______________________________________________________;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вид: _____________________________________________________________________;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специализация: ___________________________________________________________;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площадь (кв. м): _________________________________________________________;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Период размещения: _______________________________________________________.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Владелец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вносит плату за размещение Объекта в порядке, установленном </w:t>
      </w:r>
      <w:hyperlink w:anchor="Par56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разделом 3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II. Срок действия договора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Par54"/>
      <w:bookmarkEnd w:id="1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2.1. Договор вступает в силу со дня подписания Сторонами и действует до _________________, а в части исполнения обязательств по оплате и демонтажу Объекта - до их полного исполнения.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" w:name="Par56"/>
      <w:bookmarkEnd w:id="2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III. Цена договора и порядок расчетов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261B8B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3" w:name="Par58"/>
      <w:bookmarkEnd w:id="3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Годовой размер платы на размещение нестационарного торгового объекта </w:t>
      </w:r>
      <w:r w:rsidRPr="00261B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устанавливается в соответствии с Протоколом № ___подведения итогов аукциона от ____, и составляет:</w:t>
      </w:r>
    </w:p>
    <w:p w:rsidR="00A50F49" w:rsidRPr="00261B8B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 руб. в месяц;</w:t>
      </w: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 руб. в год.</w:t>
      </w:r>
    </w:p>
    <w:p w:rsidR="00A50F49" w:rsidRPr="00EC3DC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4" w:name="Par65"/>
      <w:bookmarkEnd w:id="4"/>
      <w:r w:rsidRPr="00EC3D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Владелец нестационарного торгового объекта вносит плату</w:t>
      </w:r>
      <w:r w:rsidRPr="00EC3DC5">
        <w:rPr>
          <w:rFonts w:ascii="Times New Roman" w:hAnsi="Times New Roman"/>
          <w:sz w:val="20"/>
          <w:szCs w:val="20"/>
        </w:rPr>
        <w:t xml:space="preserve"> за размещение нестационарного торгового объекта </w:t>
      </w:r>
      <w:r w:rsidRPr="00EC3D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ежемесячно не позднее 10 числа месяца, следующего за расчетным периодом.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Владелец </w:t>
      </w:r>
      <w:r w:rsidRPr="00EC3D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C3D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вправе внести плату полностью за весь период действия Договора или авансом за несколько месяцев на расчетный счет:</w:t>
      </w:r>
    </w:p>
    <w:p w:rsidR="00A50F49" w:rsidRPr="00261B8B" w:rsidRDefault="00A50F49" w:rsidP="00A50F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Финансовое управление администрации КГО (Комитет ЗИО администрации Краснокамского городского округа, л/с 02563199130)</w:t>
      </w:r>
    </w:p>
    <w:p w:rsidR="00A50F49" w:rsidRPr="00261B8B" w:rsidRDefault="00A50F49" w:rsidP="00A50F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ИНН 5916034670 КПП 591601001</w:t>
      </w:r>
    </w:p>
    <w:p w:rsidR="00A50F49" w:rsidRPr="00261B8B" w:rsidRDefault="00A50F49" w:rsidP="00A50F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ОТДЕЛЕНИЕ ПЕРМЬ БАНКА РОССИИ//УФК по Пермскому краю г. Пермь</w:t>
      </w:r>
    </w:p>
    <w:p w:rsidR="00A50F49" w:rsidRPr="00261B8B" w:rsidRDefault="00A50F49" w:rsidP="00A50F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БИК 015773997</w:t>
      </w:r>
    </w:p>
    <w:p w:rsidR="00A50F49" w:rsidRPr="00261B8B" w:rsidRDefault="00A50F49" w:rsidP="00A50F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к/с 40102810145370000048</w:t>
      </w:r>
    </w:p>
    <w:p w:rsidR="00A50F49" w:rsidRPr="00261B8B" w:rsidRDefault="00A50F49" w:rsidP="00A50F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1B8B">
        <w:rPr>
          <w:rFonts w:ascii="Times New Roman" w:eastAsia="Times New Roman" w:hAnsi="Times New Roman"/>
          <w:sz w:val="20"/>
          <w:szCs w:val="20"/>
          <w:lang w:eastAsia="ru-RU"/>
        </w:rPr>
        <w:t>р/с 03231643577200005600</w:t>
      </w:r>
      <w:r w:rsidRPr="00261B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назначение платежа: плата по договору на размещение нестационарного торгового объекта по договору от ____________ № _____ по адресу: ________________ .</w:t>
      </w:r>
    </w:p>
    <w:p w:rsidR="00A50F49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5" w:name="Par73"/>
      <w:bookmarkEnd w:id="5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Денежные средства, указанные в </w:t>
      </w:r>
      <w:hyperlink w:anchor="Par58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пунктах 3.1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вносятся путем безналичного перечисления денежных средств на счет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Днем оплаты денежных средств является день их поступления на счет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3.4. 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Поступающие по настоящему договору платежи при наличии долга по плате за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нестационарного торгового объекта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предшествующие периоды засчитываются, прежде всего, в счет погашения долга.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 случае досрочного расторжения настоящего договора денежные средства, указанные в </w:t>
      </w:r>
      <w:hyperlink w:anchor="Par58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пунктах 3.1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договора, Владельцу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возвращаются, за исключением случаев, предусмотренных законодательством Российской Федерации, а также досрочного расторжения по соглашению Сторон по основаниям, предусмотренным </w:t>
      </w:r>
      <w:hyperlink w:anchor="Par141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shd w:val="clear" w:color="auto" w:fill="FFFFFF" w:themeFill="background1"/>
            <w:lang w:eastAsia="ru-RU"/>
          </w:rPr>
          <w:t>пунктами 6.2.6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, </w:t>
      </w:r>
      <w:hyperlink w:anchor="Par142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shd w:val="clear" w:color="auto" w:fill="FFFFFF" w:themeFill="background1"/>
            <w:lang w:eastAsia="ru-RU"/>
          </w:rPr>
          <w:t>6.2.7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при которых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обязуется вернуть: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плату, указанную в </w:t>
      </w:r>
      <w:hyperlink w:anchor="Par65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пункте 3.2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пропорционально периоду несостоявшегося размещения Объекта в течение 30 дней с даты расторжения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Денежные средства возвращаются путем безналичного перечисления на счет Владельца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указанный в настоящем договоре.</w:t>
      </w:r>
    </w:p>
    <w:p w:rsidR="00A50F49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актов, кроме случая заключения договора по результатам проведения аукциона в электронной форме.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3.8. 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случае изменения платежных реквизитов Комитет уведомляет об этом </w:t>
      </w:r>
      <w:r w:rsidRPr="00BC33C8">
        <w:rPr>
          <w:rFonts w:ascii="Times New Roman" w:eastAsia="Times New Roman" w:hAnsi="Times New Roman"/>
          <w:sz w:val="20"/>
          <w:szCs w:val="20"/>
          <w:lang w:eastAsia="ru-RU"/>
        </w:rPr>
        <w:t>Владел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ьца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письменно или посредством публикации новых реквизитов в средствах массовой информации; при этом дополнительное соглашение к настоящему договору не оформляется. В случае, если после уведомления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Владелец нестационарного торгового объекта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перечислил плату за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нестационарного торгового объекта</w:t>
      </w:r>
      <w:r w:rsidRPr="00BC33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ненадлежащий реквизитам, она считается не исполнившей обязательства в установленный срок и несет ответственность, предусмотренную пунктом 5.2 настоящего договора.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IV. Права и обязанности Сторон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4.1. Владелец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вправе: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4.1.1.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края, правовых актов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настоящего договора, в том числе на предоставленном альтернативном месте размещения.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Владелец обязан: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6" w:name="Par88"/>
      <w:bookmarkEnd w:id="6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4.2.1. разместить Объект в соответствии с условиями настоящего договора и направить 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письменной форме извещение о размещении Объекта для составления </w:t>
      </w:r>
      <w:hyperlink w:anchor="Par176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акта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приемки Объекта согласно приложению к настоящему договору в течение трех месяцев после заключения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7" w:name="Par89"/>
      <w:bookmarkEnd w:id="7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4.2.2. осуществлять торговую деятельность (оказание услуг) после приемки Объекта и подписания акта приемки Объекта, подтверждающего соответствие Объекта условиям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4.2.3. соблюдать при размещении Объекта требования к виду, специализации, площади, адресному ориентиру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Объекта в соответствии с условиями настоящего договора в течение всего срока действия настоящего договора;</w:t>
      </w:r>
    </w:p>
    <w:p w:rsidR="00A50F49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8" w:name="Par91"/>
      <w:bookmarkEnd w:id="8"/>
      <w:r w:rsidRPr="008915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4.2.4. соблюдать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нестационарного торгового объекта, утвержденные нормативным правовым актом администрации Краснокамского городского округа;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4.2.5. производить </w:t>
      </w:r>
      <w:r w:rsidRPr="00C51B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подключение (технологического присоединения) к сетям инженерно-технического обеспечения за счет собственных средств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своевременно вносить плату по настоящему договору.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течение 10 дней со дня получения письменного требования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произвести сверку расчетов по внесению платы;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9" w:name="Par94"/>
      <w:bookmarkEnd w:id="9"/>
      <w:r w:rsidRPr="00B10B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4.2.7. 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Объекта;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обеспечить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Комитету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свободный доступ на Объект и место размещения Объекта для его осмотра и проверки соблюдения условий настоящего договора;</w:t>
      </w:r>
    </w:p>
    <w:p w:rsidR="00A50F49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0" w:name="Par96"/>
      <w:bookmarkEnd w:id="10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соблюдать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правила благоустройства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утвержденные решением Думы 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6B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Pr="00386B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направить письменное уведомление в Комитет об изменении сведений о Владельце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386B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указанных в </w:t>
      </w:r>
      <w:hyperlink w:anchor="Par159" w:history="1">
        <w:r w:rsidRPr="00386BAA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разделе 8</w:t>
        </w:r>
      </w:hyperlink>
      <w:r w:rsidRPr="00386B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не позднее 5 рабочих дней со дня их изменения.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считаются направленными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Комитетом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полученными Владельцем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надлежащим образом;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1" w:name="Par99"/>
      <w:bookmarkEnd w:id="11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не допускать конструктивное объединение Объекта с другими нестационарными торговыми и прочими объектами;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не допускать прекращение торговой деятельности (оказания услуг) в Объекте на срок в течение 30 календарных дней подряд в течение срока действия настоящего договора;</w:t>
      </w:r>
    </w:p>
    <w:p w:rsidR="00A50F49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2" w:name="Par101"/>
      <w:bookmarkEnd w:id="12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соблюдать требования (запреты, ограничения) действующего законодательства в области торговой деятельности, в том числе к розничной продаже алкогольной продукции, утвержденные Федеральным </w:t>
      </w:r>
      <w:hyperlink r:id="rId4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22 ноября 1995 г.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171-ФЗ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4.2.14. о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беспечить   соблюдение   санитарных   норм   и   правил   при   осуществлении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еятельности, указанной в пункте 1.1 настоящего Договора, регулярный вывоз мусора,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поддержание надлежащего санитарного состояния территории, прилегающей к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нестационарному торговому объекту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4.2.15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облюдать при размещении НТО требования строительных, экологических,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санитарно-гигиенических, противопожарных и иных правил, нормативов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4.2.16.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 допускать загрязнение, захламление места размещения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Объекта и прилегающей территории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4.2.17. н</w:t>
      </w:r>
      <w:r w:rsidRPr="00B32E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 допускать ухудшения состояния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Объекта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3" w:name="Par102"/>
      <w:bookmarkEnd w:id="13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устранить выявленные нарушения в течение 10 календарных дней со дня получения соответствующего уведомления в соответствии с </w:t>
      </w:r>
      <w:hyperlink w:anchor="Par153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пунктом 7.2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4" w:name="Par103"/>
      <w:bookmarkEnd w:id="14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не позднее 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30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состояние, о чем в трехдневный срок письменно уведомить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вправе: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4.3.1. в течение действия договора без предварительного уведомления Владельца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проводить проверку соблюдения Владельцем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условий настоящего договора с применением фото- и видеофиксации;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4.3.2. при выявлении фактов нарушения условий настоящего договора требовать от Владельца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устранения нарушений в течение 10 календарных дней со дня получения соответствующего уведомления в соответствии с </w:t>
      </w:r>
      <w:hyperlink w:anchor="Par153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пунктом 7.2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4.3.3. прекратить досрочно действие настоящего договора по основаниям, установленным в </w:t>
      </w:r>
      <w:hyperlink w:anchor="Par135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пункте 6.2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4.3.4. принять меры по освобождению места размещения Объекта в случае неисполнения Владельцем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обязанности, предусмотренной </w:t>
      </w:r>
      <w:hyperlink w:anchor="Par103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пунктом 4.2.14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A50F49" w:rsidRPr="000C0785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4.3.5.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регулирующих правоотношения в сфере размещения нестационарных торговых объектов,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4.4.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обязан: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4.4.1. предоставить Владельцу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право на размещение Объекта в соответствии с условиями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256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предоставить Владельцу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9256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альтернативное место размещения Объекта в порядке, установленном администрацией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9256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случаях, предусмотренных нормативными правовыми актами Пермского края 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92566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до окончания срока действия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4.4.3. составить </w:t>
      </w:r>
      <w:hyperlink w:anchor="Par176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акт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приема-передачи места размещения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 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Объект по форме согласно приложению к настоящему договору после поступления извещения, указанного в </w:t>
      </w:r>
      <w:hyperlink w:anchor="Par88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пункте 4.2.1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договора, не позднее 3 рабочих дней с момента его поступления 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V. Ответственность Сторон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 - в соответствии с действующим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Pr="00EC3DC5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C3D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5.2. </w:t>
      </w:r>
      <w:r w:rsidRPr="00EC3DC5">
        <w:rPr>
          <w:rFonts w:ascii="Times New Roman" w:eastAsia="Arial" w:hAnsi="Times New Roman"/>
          <w:bCs/>
          <w:kern w:val="1"/>
          <w:sz w:val="20"/>
          <w:szCs w:val="20"/>
          <w:lang w:eastAsia="ar-SA"/>
        </w:rPr>
        <w:t>В случае невнесения платы в установленный Договором срок Комитет начисляется пеня в размере 0,5% просроченной суммы за каждый день просрочки.</w:t>
      </w:r>
    </w:p>
    <w:p w:rsidR="00A50F49" w:rsidRPr="00B10BCF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10B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5.3. В случае однократного неисполнения Владельцем обязательств, установленных </w:t>
      </w:r>
      <w:hyperlink w:anchor="Par91" w:history="1">
        <w:r w:rsidRPr="00B10BCF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пунктами 4.2.4</w:t>
        </w:r>
      </w:hyperlink>
      <w:r w:rsidRPr="00B10B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4.2.11, 4.2.18,4.2.19 настоящего договора, не позднее 14 календарных дней с даты направления претензии Комитета Владелец уплачивает Комитету штраф в размере 50%: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5.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 В  случае  однократного  неисполнения  Владельцем  обязательств, установленных  </w:t>
      </w:r>
      <w:hyperlink w:anchor="Par88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пунктами  4.2.1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 </w:t>
      </w:r>
      <w:hyperlink w:anchor="Par89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4.2.2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настоящего  договора, не позднее 14 календарных   дней  с  даты  направления  претензии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Владелец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уплачивает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Комитету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штраф в размере 25%: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Владелец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VI. Порядок изменения и расторжения договора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6.1. Настоящий договор может быть изменен или расторгнут по соглашению Сторон, если иное не предусмотрено настоящим разделом.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5" w:name="Par135"/>
      <w:bookmarkEnd w:id="15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6.2. Настоящий договор расторгается в связи с односторонним отказом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его исполнения в следующих случаях: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6.2.1. неисполнения Владельцем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обязательства по соблюдению вида, специализации, площади, адресного ориентир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 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Объекта в соответствии с условиями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6.2.2. неисполнения Владельцем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обязательства по осуществлению в Объекте торговой деятельности (оказанию услуги) в течение 30 календарных дней подряд в течение срока действия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6.2.3.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подряд, а также в случае невнесения или внесения не в полном объеме обеспечительного (авансового) платежа;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6.2.4. неисполнения Владельцем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обязательств, установленных </w:t>
      </w:r>
      <w:hyperlink w:anchor="Par94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пунктом 4.2.6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6.2.5. неоднократного (два и более раза) выявления при осуществлении торговой деятельности с использованием Объекта нарушения </w:t>
      </w:r>
      <w:hyperlink w:anchor="Par96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пунктов 4.2.8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hyperlink w:anchor="Par101" w:history="1">
        <w:r w:rsidRPr="00DE19F7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4.2.12</w:t>
        </w:r>
      </w:hyperlink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 в течение одного календарного года, подтвержденного вступившими в силу постановлениями о назначении административного наказания;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6" w:name="Par141"/>
      <w:bookmarkEnd w:id="16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6.2.6. перехода земельного участка, на котором размещен Объект, в собственность третьих лиц;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7" w:name="Par142"/>
      <w:bookmarkEnd w:id="17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6.2.7. изъятия земельного участка для государственных и муниципальных нужд в случае необходимости в использовании земельного участка, на котором расположен Объект;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6.2.8. ликвидации юридического лица, снятия статуса индивидуального предпринимателя, банкротства юридического лица, индивидуального предпринимателя.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Договор считается расторгнутым через 10 календарных дней со дня направления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Комитетом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Владельцу письменного уведомления об одностороннем отказе 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под подпись.</w:t>
      </w:r>
    </w:p>
    <w:p w:rsidR="00A50F49" w:rsidRPr="00DE19F7" w:rsidRDefault="00A50F49" w:rsidP="00A50F49">
      <w:pPr>
        <w:autoSpaceDE w:val="0"/>
        <w:autoSpaceDN w:val="0"/>
        <w:adjustRightInd w:val="0"/>
        <w:spacing w:before="26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и дополнения к настоящему договору должны быть оформлены в той же форме, что и настоящий договор.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Расторжение настоящего договора не освобождает Владельца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необходимости погашения задолженности по плате и выплаты пеней и штрафов, предусмотренных настоящим договором.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VII. Заключительные положения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6B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судебном порядке в Арбитражном суде Пермского края либо в судах общей юрисдикции Краснокамского городского округа.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8" w:name="Par153"/>
      <w:bookmarkEnd w:id="18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вправе обеспечивать уведомление Владельца</w:t>
      </w:r>
      <w:r w:rsidRPr="000C07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нестационарного торгового объекта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том числе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Владельца, указанный (указанные) в договоре.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 изменении телефонного номера (телефонных номеров) средств мобильной (сотовой) связи Владелец обязан в течение пяти дней письменно уведомить об этом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Комитет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сообщив новый телефонный номер (новые телефонные номера) средств мобильной (сотовой) связи.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7.3. В остальных случаях, не предусмотренных настоящим договором, Стороны руководствуются действующим законодательством Российской Федерации, Пермского края, правовыми актами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Краснокамского городского округа</w:t>
      </w: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50F49" w:rsidRPr="00DE19F7" w:rsidRDefault="00A50F49" w:rsidP="00A50F49">
      <w:pPr>
        <w:autoSpaceDE w:val="0"/>
        <w:autoSpaceDN w:val="0"/>
        <w:adjustRightInd w:val="0"/>
        <w:spacing w:before="200" w:after="0" w:line="240" w:lineRule="exact"/>
        <w:ind w:firstLine="540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 Настоящий договор составлен в двух экземплярах - по одному для каждой из Сторон.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9" w:name="Par159"/>
      <w:bookmarkEnd w:id="19"/>
      <w:r w:rsidRPr="00DE19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VIII. Адреса, реквизиты и подписи Сторон</w:t>
      </w: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A50F49" w:rsidRPr="00DE19F7" w:rsidTr="0023259B">
        <w:tc>
          <w:tcPr>
            <w:tcW w:w="4592" w:type="dxa"/>
          </w:tcPr>
          <w:p w:rsidR="00A50F49" w:rsidRPr="00DE19F7" w:rsidRDefault="00A50F49" w:rsidP="0023259B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79" w:type="dxa"/>
          </w:tcPr>
          <w:p w:rsidR="00A50F49" w:rsidRPr="000C0785" w:rsidRDefault="00A50F49" w:rsidP="0023259B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E19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Владелец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нестационарного торгового объекта</w:t>
            </w:r>
          </w:p>
        </w:tc>
      </w:tr>
    </w:tbl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Pr="00DE19F7" w:rsidRDefault="00A50F49" w:rsidP="00A50F49">
      <w:pPr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0F49" w:rsidRDefault="00A50F49" w:rsidP="00A50F49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0E9F" w:rsidRDefault="00B40E9F"/>
    <w:sectPr w:rsidR="00B40E9F" w:rsidSect="00A50F4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49"/>
    <w:rsid w:val="00A50F49"/>
    <w:rsid w:val="00B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427D-F39E-4D33-B8EC-7D33004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0DA95ADECE1C3A2BC734A6E4B892F3EA3FED021EBD5824A3C8242214A9C3A4D8B1559616FA58C0598EFCA3B1RF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2750</Words>
  <Characters>15677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>г. Краснокамск                                                                  </vt:lpstr>
      <vt:lpstr/>
      <vt:lpstr>Комитет земельных и имущественных отношений администрации Краснокамского городск</vt:lpstr>
      <vt:lpstr>(должность, Ф</vt:lpstr>
      <vt:lpstr>действующего на основании Положения, с одной стороны и _________________________</vt:lpstr>
      <vt:lpstr>________________________________________________________________________________</vt:lpstr>
      <vt:lpstr>(наименование юридического лица или Ф.И.О. индивидуального предпринимателя)</vt:lpstr>
      <vt:lpstr>именуемое(ый) в дальнейшем Владелец нестационарного торгового объекта, в лице __</vt:lpstr>
      <vt:lpstr>(должность, Ф.И.О.)</vt:lpstr>
      <vt:lpstr>действующего на основании ______________________________________________________</vt:lpstr>
      <vt:lpstr>(наименование документа)</vt:lpstr>
      <vt:lpstr>с другой стороны, вместе   именуемые   Стороны, в   соответствии с действующим з</vt:lpstr>
      <vt:lpstr>I. Предмет договора</vt:lpstr>
      <vt:lpstr>1.1. На основании __________________________________________________________</vt:lpstr>
      <vt:lpstr>(наименование документа, являющегося основанием для заключения договора)</vt:lpstr>
      <vt:lpstr>Комитет  предоставляет  Владельцу  нестационарного торгового объекта право  на р</vt:lpstr>
      <vt:lpstr>учетный номер: ___________________________________________________________;</vt:lpstr>
      <vt:lpstr>адресные ориентиры: ______________________________________________________;</vt:lpstr>
      <vt:lpstr>вид: _____________________________________________________________________;</vt:lpstr>
      <vt:lpstr>специализация: ___________________________________________________________;</vt:lpstr>
      <vt:lpstr>площадь (кв. м): _________________________________________________________;</vt:lpstr>
      <vt:lpstr>_____________________________________________________________.</vt:lpstr>
      <vt:lpstr>Период размещения: _______________________________________________________.</vt:lpstr>
      <vt:lpstr>II. Срок действия договора</vt:lpstr>
      <vt:lpstr>III. Цена договора и порядок расчетов</vt:lpstr>
      <vt:lpstr>IV. Права и обязанности Сторон</vt:lpstr>
      <vt:lpstr/>
      <vt:lpstr>V. Ответственность Сторон</vt:lpstr>
      <vt:lpstr>5.4.  В  случае  однократного  неисполнения  Владельцем  обязательств,</vt:lpstr>
      <vt:lpstr>VI. Порядок изменения и расторжения договора</vt:lpstr>
      <vt:lpstr>VII. Заключительные положения</vt:lpstr>
      <vt:lpstr>VIII. Адреса, реквизиты и подписи Сторон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2021-03-10T03:35:00Z</dcterms:created>
  <dcterms:modified xsi:type="dcterms:W3CDTF">2021-03-10T03:35:00Z</dcterms:modified>
</cp:coreProperties>
</file>